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3A" w:rsidRDefault="001838D6">
      <w:pPr>
        <w:pStyle w:val="NormalWeb"/>
        <w:spacing w:before="0" w:beforeAutospacing="0" w:after="0" w:afterAutospacing="0"/>
        <w:rPr>
          <w:rFonts w:ascii="Calibri Light" w:hAnsi="Calibri Light"/>
          <w:color w:val="000000"/>
          <w:sz w:val="40"/>
          <w:szCs w:val="40"/>
        </w:rPr>
      </w:pPr>
      <w:r>
        <w:rPr>
          <w:rFonts w:ascii="Calibri Light" w:hAnsi="Calibri Light"/>
          <w:color w:val="000000"/>
          <w:sz w:val="40"/>
          <w:szCs w:val="40"/>
        </w:rPr>
        <w:t xml:space="preserve">NAFSGL </w:t>
      </w:r>
      <w:r w:rsidR="00104DD3">
        <w:rPr>
          <w:rFonts w:ascii="Calibri Light" w:hAnsi="Calibri Light"/>
          <w:color w:val="000000"/>
          <w:sz w:val="40"/>
          <w:szCs w:val="40"/>
        </w:rPr>
        <w:t>Working Group Meeting</w:t>
      </w:r>
      <w:r w:rsidR="00555872">
        <w:rPr>
          <w:rFonts w:ascii="Calibri Light" w:hAnsi="Calibri Light"/>
          <w:color w:val="000000"/>
          <w:sz w:val="40"/>
          <w:szCs w:val="40"/>
        </w:rPr>
        <w:t xml:space="preserve"> Minutes</w:t>
      </w:r>
    </w:p>
    <w:p w:rsidR="0080763A" w:rsidRDefault="003771D6">
      <w:pPr>
        <w:pStyle w:val="NormalWeb"/>
        <w:spacing w:before="0" w:beforeAutospacing="0" w:after="0" w:afterAutospacing="0"/>
        <w:rPr>
          <w:rFonts w:ascii="Calibri" w:hAnsi="Calibri"/>
          <w:color w:val="808080"/>
          <w:sz w:val="20"/>
          <w:szCs w:val="20"/>
        </w:rPr>
      </w:pPr>
      <w:r>
        <w:rPr>
          <w:rFonts w:ascii="Calibri" w:hAnsi="Calibri"/>
          <w:color w:val="808080"/>
          <w:sz w:val="20"/>
          <w:szCs w:val="20"/>
        </w:rPr>
        <w:t xml:space="preserve">Thursday, </w:t>
      </w:r>
      <w:r w:rsidR="00D26C98">
        <w:rPr>
          <w:rFonts w:ascii="Calibri" w:hAnsi="Calibri"/>
          <w:color w:val="808080"/>
          <w:sz w:val="20"/>
          <w:szCs w:val="20"/>
        </w:rPr>
        <w:t>January 29, 2015</w:t>
      </w:r>
    </w:p>
    <w:p w:rsidR="0080763A" w:rsidRDefault="004F7F1D">
      <w:pPr>
        <w:pStyle w:val="NormalWeb"/>
        <w:spacing w:before="0" w:beforeAutospacing="0" w:after="0" w:afterAutospacing="0"/>
        <w:rPr>
          <w:rFonts w:ascii="Calibri" w:hAnsi="Calibri"/>
          <w:color w:val="808080"/>
          <w:sz w:val="20"/>
          <w:szCs w:val="20"/>
        </w:rPr>
      </w:pPr>
      <w:r>
        <w:rPr>
          <w:rFonts w:ascii="Calibri" w:hAnsi="Calibri"/>
          <w:color w:val="808080"/>
          <w:sz w:val="20"/>
          <w:szCs w:val="20"/>
        </w:rPr>
        <w:t>9:00</w:t>
      </w:r>
      <w:r w:rsidR="00104DD3">
        <w:rPr>
          <w:rFonts w:ascii="Calibri" w:hAnsi="Calibri"/>
          <w:color w:val="808080"/>
          <w:sz w:val="20"/>
          <w:szCs w:val="20"/>
        </w:rPr>
        <w:t xml:space="preserve"> AM</w:t>
      </w:r>
      <w:r w:rsidR="001838D6">
        <w:rPr>
          <w:rFonts w:ascii="Calibri" w:hAnsi="Calibri"/>
          <w:color w:val="808080"/>
          <w:sz w:val="20"/>
          <w:szCs w:val="20"/>
        </w:rPr>
        <w:t xml:space="preserve"> – 12:00 PM</w:t>
      </w:r>
    </w:p>
    <w:p w:rsidR="00736A64" w:rsidRDefault="00736A64">
      <w:pPr>
        <w:pStyle w:val="NormalWeb"/>
        <w:spacing w:before="0" w:beforeAutospacing="0" w:after="0" w:afterAutospacing="0"/>
        <w:rPr>
          <w:rFonts w:ascii="Calibri" w:hAnsi="Calibri"/>
          <w:color w:val="808080"/>
          <w:sz w:val="20"/>
          <w:szCs w:val="20"/>
        </w:rPr>
      </w:pPr>
    </w:p>
    <w:p w:rsidR="004C193C" w:rsidRPr="00F86959" w:rsidRDefault="004C193C">
      <w:pPr>
        <w:pStyle w:val="NormalWeb"/>
        <w:spacing w:before="0" w:beforeAutospacing="0" w:after="0" w:afterAutospacing="0"/>
        <w:rPr>
          <w:rFonts w:ascii="Calibri" w:hAnsi="Calibri"/>
          <w:color w:val="000000"/>
          <w:sz w:val="22"/>
          <w:szCs w:val="22"/>
        </w:rPr>
      </w:pPr>
      <w:r w:rsidRPr="00C6453F">
        <w:rPr>
          <w:rFonts w:ascii="Calibri" w:hAnsi="Calibri"/>
          <w:b/>
          <w:bCs/>
          <w:color w:val="000000"/>
          <w:sz w:val="22"/>
          <w:szCs w:val="22"/>
          <w:u w:val="single"/>
        </w:rPr>
        <w:t>Attendees:</w:t>
      </w:r>
      <w:r w:rsidR="001838D6" w:rsidRPr="001838D6">
        <w:rPr>
          <w:rFonts w:ascii="Calibri" w:hAnsi="Calibri"/>
          <w:bCs/>
          <w:color w:val="000000"/>
          <w:sz w:val="22"/>
          <w:szCs w:val="22"/>
        </w:rPr>
        <w:t xml:space="preserve"> </w:t>
      </w:r>
      <w:r w:rsidR="00B00A29" w:rsidRPr="00F86959">
        <w:rPr>
          <w:rFonts w:ascii="Calibri" w:hAnsi="Calibri"/>
          <w:color w:val="000000"/>
          <w:sz w:val="22"/>
          <w:szCs w:val="22"/>
        </w:rPr>
        <w:t>Justin Hall</w:t>
      </w:r>
      <w:r w:rsidR="005B6C0F" w:rsidRPr="00F86959">
        <w:rPr>
          <w:rFonts w:ascii="Calibri" w:hAnsi="Calibri"/>
          <w:color w:val="000000"/>
          <w:sz w:val="22"/>
          <w:szCs w:val="22"/>
        </w:rPr>
        <w:t>, Mike Curtis</w:t>
      </w:r>
      <w:r w:rsidR="00B00A29" w:rsidRPr="00F86959">
        <w:rPr>
          <w:rFonts w:ascii="Calibri" w:hAnsi="Calibri"/>
          <w:color w:val="000000"/>
          <w:sz w:val="22"/>
          <w:szCs w:val="22"/>
        </w:rPr>
        <w:t xml:space="preserve"> (MC&amp;FP), </w:t>
      </w:r>
      <w:r w:rsidR="0065143D" w:rsidRPr="00F86959">
        <w:rPr>
          <w:rFonts w:ascii="Calibri" w:hAnsi="Calibri"/>
          <w:color w:val="000000"/>
          <w:sz w:val="22"/>
          <w:szCs w:val="22"/>
        </w:rPr>
        <w:t xml:space="preserve">Zel Leach (DFAS-IN), </w:t>
      </w:r>
      <w:r w:rsidR="005B6C0F" w:rsidRPr="00F86959">
        <w:rPr>
          <w:rFonts w:ascii="Calibri" w:hAnsi="Calibri"/>
          <w:color w:val="000000"/>
          <w:sz w:val="22"/>
          <w:szCs w:val="22"/>
        </w:rPr>
        <w:t>Anthony Wisdom (OUSD</w:t>
      </w:r>
      <w:r w:rsidR="009F2771">
        <w:rPr>
          <w:rFonts w:ascii="Calibri" w:hAnsi="Calibri"/>
          <w:color w:val="000000"/>
          <w:sz w:val="22"/>
          <w:szCs w:val="22"/>
        </w:rPr>
        <w:t>-C</w:t>
      </w:r>
      <w:r w:rsidR="005B6C0F" w:rsidRPr="00F86959">
        <w:rPr>
          <w:rFonts w:ascii="Calibri" w:hAnsi="Calibri"/>
          <w:color w:val="000000"/>
          <w:sz w:val="22"/>
          <w:szCs w:val="22"/>
        </w:rPr>
        <w:t>),</w:t>
      </w:r>
      <w:r w:rsidR="00B55BB6" w:rsidRPr="00F86959">
        <w:rPr>
          <w:rFonts w:ascii="Calibri" w:hAnsi="Calibri"/>
          <w:color w:val="000000"/>
          <w:sz w:val="22"/>
          <w:szCs w:val="22"/>
        </w:rPr>
        <w:t xml:space="preserve"> </w:t>
      </w:r>
      <w:r w:rsidR="0065143D" w:rsidRPr="00F86959">
        <w:rPr>
          <w:rFonts w:ascii="Calibri" w:hAnsi="Calibri"/>
          <w:color w:val="000000"/>
          <w:sz w:val="22"/>
          <w:szCs w:val="22"/>
        </w:rPr>
        <w:t>Nancy</w:t>
      </w:r>
      <w:r w:rsidR="00B00A29" w:rsidRPr="00F86959">
        <w:rPr>
          <w:rFonts w:ascii="Calibri" w:hAnsi="Calibri"/>
          <w:color w:val="000000"/>
          <w:sz w:val="22"/>
          <w:szCs w:val="22"/>
        </w:rPr>
        <w:t xml:space="preserve"> Stephens</w:t>
      </w:r>
      <w:r w:rsidR="00F86959" w:rsidRPr="00F86959">
        <w:rPr>
          <w:rFonts w:ascii="Calibri" w:hAnsi="Calibri"/>
          <w:color w:val="000000"/>
          <w:sz w:val="22"/>
          <w:szCs w:val="22"/>
        </w:rPr>
        <w:t xml:space="preserve">, </w:t>
      </w:r>
      <w:r w:rsidR="00F86959" w:rsidRPr="00F86959">
        <w:rPr>
          <w:rFonts w:ascii="Calibri" w:hAnsi="Calibri"/>
          <w:sz w:val="22"/>
          <w:szCs w:val="22"/>
        </w:rPr>
        <w:t>Robin Bedsole</w:t>
      </w:r>
      <w:r w:rsidR="009F2771">
        <w:rPr>
          <w:rFonts w:ascii="Calibri" w:hAnsi="Calibri"/>
          <w:sz w:val="22"/>
          <w:szCs w:val="22"/>
        </w:rPr>
        <w:t xml:space="preserve"> </w:t>
      </w:r>
      <w:r w:rsidR="00F86959" w:rsidRPr="00F86959">
        <w:rPr>
          <w:rFonts w:ascii="Calibri" w:hAnsi="Calibri"/>
          <w:color w:val="000000"/>
          <w:sz w:val="22"/>
          <w:szCs w:val="22"/>
        </w:rPr>
        <w:t>(Navy CNIC),</w:t>
      </w:r>
      <w:r w:rsidR="005B6C0F" w:rsidRPr="00F86959">
        <w:rPr>
          <w:rFonts w:ascii="Calibri" w:hAnsi="Calibri"/>
          <w:color w:val="000000"/>
          <w:sz w:val="22"/>
          <w:szCs w:val="22"/>
        </w:rPr>
        <w:t xml:space="preserve"> Sonia Daugherty (Army IMCOM), </w:t>
      </w:r>
      <w:r w:rsidR="00F86959" w:rsidRPr="00F86959">
        <w:rPr>
          <w:rFonts w:ascii="Calibri" w:hAnsi="Calibri"/>
          <w:color w:val="000000"/>
          <w:sz w:val="22"/>
          <w:szCs w:val="22"/>
        </w:rPr>
        <w:t xml:space="preserve">Lena Anderson (DFAS-Texarkana), </w:t>
      </w:r>
      <w:r w:rsidR="0065143D" w:rsidRPr="00F86959">
        <w:rPr>
          <w:rFonts w:ascii="Calibri" w:hAnsi="Calibri"/>
          <w:color w:val="000000"/>
          <w:sz w:val="22"/>
          <w:szCs w:val="22"/>
        </w:rPr>
        <w:t>Cheryl Basil (Air Force MWR AF SVA/SVF)</w:t>
      </w:r>
      <w:r w:rsidR="00F86959" w:rsidRPr="00F86959">
        <w:rPr>
          <w:rFonts w:ascii="Calibri" w:hAnsi="Calibri"/>
          <w:color w:val="000000"/>
          <w:sz w:val="22"/>
          <w:szCs w:val="22"/>
        </w:rPr>
        <w:t xml:space="preserve">, </w:t>
      </w:r>
      <w:r w:rsidR="0065143D" w:rsidRPr="00F86959">
        <w:rPr>
          <w:rFonts w:ascii="Calibri" w:hAnsi="Calibri"/>
          <w:color w:val="000000"/>
          <w:sz w:val="22"/>
          <w:szCs w:val="22"/>
        </w:rPr>
        <w:t>Courtney Pulis (USMC)</w:t>
      </w:r>
      <w:r w:rsidR="00187B7D" w:rsidRPr="00F86959">
        <w:rPr>
          <w:rFonts w:ascii="Calibri" w:hAnsi="Calibri"/>
          <w:color w:val="000000"/>
          <w:sz w:val="22"/>
          <w:szCs w:val="22"/>
        </w:rPr>
        <w:t>,</w:t>
      </w:r>
      <w:r w:rsidR="001838D6" w:rsidRPr="00F86959">
        <w:rPr>
          <w:rFonts w:ascii="Calibri" w:hAnsi="Calibri"/>
          <w:color w:val="000000"/>
          <w:sz w:val="22"/>
          <w:szCs w:val="22"/>
        </w:rPr>
        <w:t xml:space="preserve"> </w:t>
      </w:r>
      <w:r w:rsidR="0065143D" w:rsidRPr="00F86959">
        <w:rPr>
          <w:rFonts w:ascii="Calibri" w:hAnsi="Calibri"/>
          <w:color w:val="000000"/>
          <w:sz w:val="22"/>
          <w:szCs w:val="22"/>
        </w:rPr>
        <w:t>Jeremy</w:t>
      </w:r>
      <w:r w:rsidR="00187B7D" w:rsidRPr="00F86959">
        <w:rPr>
          <w:rFonts w:ascii="Calibri" w:hAnsi="Calibri"/>
          <w:color w:val="000000"/>
          <w:sz w:val="22"/>
          <w:szCs w:val="22"/>
        </w:rPr>
        <w:t xml:space="preserve"> Blain</w:t>
      </w:r>
      <w:r w:rsidR="0065143D" w:rsidRPr="00F86959">
        <w:rPr>
          <w:rFonts w:ascii="Calibri" w:hAnsi="Calibri"/>
          <w:color w:val="000000"/>
          <w:sz w:val="22"/>
          <w:szCs w:val="22"/>
        </w:rPr>
        <w:t>, Mark</w:t>
      </w:r>
      <w:r w:rsidR="00187B7D" w:rsidRPr="00F86959">
        <w:rPr>
          <w:rFonts w:ascii="Calibri" w:hAnsi="Calibri"/>
          <w:color w:val="000000"/>
          <w:sz w:val="22"/>
          <w:szCs w:val="22"/>
        </w:rPr>
        <w:t xml:space="preserve"> Douek</w:t>
      </w:r>
      <w:r w:rsidR="005B6C0F" w:rsidRPr="00F86959">
        <w:rPr>
          <w:rFonts w:ascii="Calibri" w:hAnsi="Calibri"/>
          <w:color w:val="000000"/>
          <w:sz w:val="22"/>
          <w:szCs w:val="22"/>
        </w:rPr>
        <w:t xml:space="preserve">, </w:t>
      </w:r>
      <w:r w:rsidR="0065143D" w:rsidRPr="00F86959">
        <w:rPr>
          <w:rFonts w:ascii="Calibri" w:hAnsi="Calibri"/>
          <w:color w:val="000000"/>
          <w:sz w:val="22"/>
          <w:szCs w:val="22"/>
        </w:rPr>
        <w:t>Tina</w:t>
      </w:r>
      <w:r w:rsidR="00187B7D" w:rsidRPr="00F86959">
        <w:rPr>
          <w:rFonts w:ascii="Calibri" w:hAnsi="Calibri"/>
          <w:color w:val="000000"/>
          <w:sz w:val="22"/>
          <w:szCs w:val="22"/>
        </w:rPr>
        <w:t xml:space="preserve"> Cooper</w:t>
      </w:r>
      <w:r w:rsidR="00F86959" w:rsidRPr="00F86959">
        <w:rPr>
          <w:rFonts w:ascii="Calibri" w:hAnsi="Calibri"/>
          <w:color w:val="000000"/>
          <w:sz w:val="22"/>
          <w:szCs w:val="22"/>
        </w:rPr>
        <w:t>, Tracy McLoughlin</w:t>
      </w:r>
      <w:r w:rsidR="0065143D" w:rsidRPr="00F86959">
        <w:rPr>
          <w:rFonts w:ascii="Calibri" w:hAnsi="Calibri"/>
          <w:color w:val="000000"/>
          <w:sz w:val="22"/>
          <w:szCs w:val="22"/>
        </w:rPr>
        <w:t xml:space="preserve"> (Grant Thornton)</w:t>
      </w:r>
    </w:p>
    <w:p w:rsidR="00D61417" w:rsidRDefault="00D61417" w:rsidP="001838D6">
      <w:pPr>
        <w:pStyle w:val="NormalWeb"/>
        <w:spacing w:before="0" w:beforeAutospacing="0" w:after="0" w:afterAutospacing="0"/>
        <w:rPr>
          <w:rFonts w:ascii="Calibri" w:hAnsi="Calibri"/>
          <w:color w:val="808080"/>
          <w:sz w:val="20"/>
          <w:szCs w:val="20"/>
        </w:rPr>
      </w:pPr>
    </w:p>
    <w:p w:rsidR="00733228" w:rsidRPr="0002590E" w:rsidRDefault="00733228" w:rsidP="001838D6">
      <w:pPr>
        <w:pStyle w:val="NormalWeb"/>
        <w:spacing w:before="0" w:beforeAutospacing="0" w:after="0" w:afterAutospacing="0"/>
        <w:rPr>
          <w:rFonts w:ascii="Calibri" w:hAnsi="Calibri"/>
          <w:b/>
          <w:bCs/>
          <w:color w:val="C00000"/>
          <w:sz w:val="22"/>
          <w:szCs w:val="22"/>
          <w:u w:val="single"/>
        </w:rPr>
      </w:pPr>
      <w:r w:rsidRPr="0002590E">
        <w:rPr>
          <w:rFonts w:ascii="Calibri" w:hAnsi="Calibri"/>
          <w:b/>
          <w:bCs/>
          <w:color w:val="C00000"/>
          <w:sz w:val="22"/>
          <w:szCs w:val="22"/>
          <w:u w:val="single"/>
        </w:rPr>
        <w:t>Action Items Summary:</w:t>
      </w:r>
      <w:bookmarkStart w:id="0" w:name="_GoBack"/>
      <w:bookmarkEnd w:id="0"/>
    </w:p>
    <w:p w:rsidR="00675108" w:rsidRDefault="00675108" w:rsidP="001838D6">
      <w:pPr>
        <w:pStyle w:val="NormalWeb"/>
        <w:spacing w:before="0" w:beforeAutospacing="0" w:after="0" w:afterAutospacing="0"/>
        <w:rPr>
          <w:rFonts w:ascii="Calibri" w:hAnsi="Calibri"/>
          <w:b/>
          <w:bCs/>
          <w:color w:val="FF0000"/>
          <w:sz w:val="22"/>
          <w:szCs w:val="22"/>
          <w:u w:val="single"/>
        </w:rPr>
      </w:pPr>
    </w:p>
    <w:p w:rsidR="00675108" w:rsidRPr="0002590E" w:rsidRDefault="00675108" w:rsidP="001838D6">
      <w:pPr>
        <w:pStyle w:val="NormalWeb"/>
        <w:spacing w:before="0" w:beforeAutospacing="0" w:after="0" w:afterAutospacing="0"/>
        <w:rPr>
          <w:rFonts w:ascii="Calibri" w:hAnsi="Calibri"/>
          <w:b/>
          <w:sz w:val="20"/>
          <w:szCs w:val="20"/>
        </w:rPr>
      </w:pPr>
      <w:r w:rsidRPr="0002590E">
        <w:rPr>
          <w:rFonts w:ascii="Calibri" w:hAnsi="Calibri"/>
          <w:b/>
          <w:bCs/>
          <w:sz w:val="22"/>
          <w:szCs w:val="22"/>
        </w:rPr>
        <w:t>Grant Thornton</w:t>
      </w:r>
    </w:p>
    <w:p w:rsidR="00675108" w:rsidRDefault="00DB3C67" w:rsidP="00675108">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GT to propose extraordinary </w:t>
      </w:r>
      <w:r w:rsidR="002E621E">
        <w:rPr>
          <w:rFonts w:ascii="Calibri" w:hAnsi="Calibri"/>
          <w:color w:val="000000"/>
          <w:sz w:val="22"/>
          <w:szCs w:val="22"/>
        </w:rPr>
        <w:t xml:space="preserve">items </w:t>
      </w:r>
      <w:r>
        <w:rPr>
          <w:rFonts w:ascii="Calibri" w:hAnsi="Calibri"/>
          <w:color w:val="000000"/>
          <w:sz w:val="22"/>
          <w:szCs w:val="22"/>
        </w:rPr>
        <w:t>definition that limits account use to events like natural disasters and base closures.</w:t>
      </w:r>
    </w:p>
    <w:p w:rsidR="00675108" w:rsidRDefault="00DB3C67" w:rsidP="00DB3C67">
      <w:pPr>
        <w:pStyle w:val="NormalWeb"/>
        <w:numPr>
          <w:ilvl w:val="0"/>
          <w:numId w:val="14"/>
        </w:numPr>
        <w:spacing w:before="0" w:beforeAutospacing="0" w:after="0" w:afterAutospacing="0"/>
        <w:rPr>
          <w:rFonts w:ascii="Calibri" w:hAnsi="Calibri"/>
          <w:color w:val="000000"/>
          <w:sz w:val="22"/>
          <w:szCs w:val="22"/>
        </w:rPr>
      </w:pPr>
      <w:r w:rsidRPr="00787BA1">
        <w:rPr>
          <w:rFonts w:ascii="Calibri" w:hAnsi="Calibri"/>
          <w:color w:val="000000"/>
          <w:sz w:val="22"/>
          <w:szCs w:val="22"/>
        </w:rPr>
        <w:t>FMR to be rewritten to require allowance method if bad debt expense is expected to be material. If not, use direct write-off method.</w:t>
      </w:r>
      <w:r>
        <w:rPr>
          <w:rFonts w:ascii="Calibri" w:hAnsi="Calibri"/>
          <w:b/>
          <w:color w:val="000000"/>
          <w:sz w:val="22"/>
          <w:szCs w:val="22"/>
        </w:rPr>
        <w:t xml:space="preserve">  </w:t>
      </w:r>
    </w:p>
    <w:p w:rsidR="00DB3C67" w:rsidRPr="00DB3C67" w:rsidRDefault="00DB3C67" w:rsidP="00DB3C67">
      <w:pPr>
        <w:pStyle w:val="NormalWeb"/>
        <w:spacing w:before="0" w:beforeAutospacing="0" w:after="0" w:afterAutospacing="0"/>
        <w:ind w:left="720"/>
        <w:rPr>
          <w:rFonts w:ascii="Calibri" w:hAnsi="Calibri"/>
          <w:color w:val="000000"/>
          <w:sz w:val="22"/>
          <w:szCs w:val="22"/>
        </w:rPr>
      </w:pPr>
    </w:p>
    <w:p w:rsidR="00675108" w:rsidRPr="0002590E" w:rsidRDefault="00675108" w:rsidP="00675108">
      <w:pPr>
        <w:pStyle w:val="NormalWeb"/>
        <w:spacing w:before="0" w:beforeAutospacing="0" w:after="0" w:afterAutospacing="0"/>
        <w:rPr>
          <w:rFonts w:ascii="Calibri" w:hAnsi="Calibri"/>
          <w:b/>
          <w:bCs/>
          <w:sz w:val="22"/>
          <w:szCs w:val="22"/>
        </w:rPr>
      </w:pPr>
      <w:r w:rsidRPr="0002590E">
        <w:rPr>
          <w:rFonts w:ascii="Calibri" w:hAnsi="Calibri"/>
          <w:b/>
          <w:bCs/>
          <w:sz w:val="22"/>
          <w:szCs w:val="22"/>
        </w:rPr>
        <w:t>Services</w:t>
      </w:r>
    </w:p>
    <w:p w:rsidR="00733228" w:rsidRDefault="00DB3C67" w:rsidP="00733228">
      <w:pPr>
        <w:pStyle w:val="NormalWeb"/>
        <w:numPr>
          <w:ilvl w:val="0"/>
          <w:numId w:val="14"/>
        </w:numPr>
        <w:spacing w:before="0" w:beforeAutospacing="0" w:after="0" w:afterAutospacing="0"/>
        <w:rPr>
          <w:rFonts w:ascii="Calibri" w:hAnsi="Calibri"/>
          <w:color w:val="000000"/>
          <w:sz w:val="22"/>
          <w:szCs w:val="22"/>
        </w:rPr>
      </w:pPr>
      <w:r w:rsidRPr="003946CD">
        <w:rPr>
          <w:rFonts w:ascii="Calibri" w:hAnsi="Calibri"/>
          <w:color w:val="000000"/>
          <w:sz w:val="22"/>
          <w:szCs w:val="22"/>
        </w:rPr>
        <w:t xml:space="preserve">Services to let </w:t>
      </w:r>
      <w:r>
        <w:rPr>
          <w:rFonts w:ascii="Calibri" w:hAnsi="Calibri"/>
          <w:color w:val="000000"/>
          <w:sz w:val="22"/>
          <w:szCs w:val="22"/>
        </w:rPr>
        <w:t>GT know if certain cost centers need to be moved/added to a specific activity.</w:t>
      </w:r>
    </w:p>
    <w:p w:rsidR="00DB3C67" w:rsidRPr="00DB3C67" w:rsidRDefault="00DB3C67" w:rsidP="00DB3C67">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Services to see if they have credit card transactions that exceed $25k and will let Justin know. </w:t>
      </w:r>
    </w:p>
    <w:p w:rsidR="00DB3C67" w:rsidRDefault="00DB3C67" w:rsidP="00DB3C67">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Marines to look into salvage value issue and will follow-up about whether MC reaches the 10% threshold or not.</w:t>
      </w:r>
    </w:p>
    <w:p w:rsidR="00DB3C67" w:rsidRPr="00DB3C67" w:rsidRDefault="00DB3C67" w:rsidP="00DB3C67">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Marines to provide relevant financial statements to GT for data repository effort.</w:t>
      </w:r>
    </w:p>
    <w:p w:rsidR="00DB3C67" w:rsidRDefault="00DB3C67" w:rsidP="00DB3C67">
      <w:pPr>
        <w:pStyle w:val="NormalWeb"/>
        <w:spacing w:before="0" w:beforeAutospacing="0" w:after="0" w:afterAutospacing="0"/>
        <w:rPr>
          <w:rFonts w:ascii="Calibri" w:hAnsi="Calibri"/>
          <w:color w:val="000000"/>
          <w:sz w:val="22"/>
          <w:szCs w:val="22"/>
        </w:rPr>
      </w:pPr>
    </w:p>
    <w:p w:rsidR="00733228" w:rsidRDefault="00DB3C67" w:rsidP="00DB3C67">
      <w:pPr>
        <w:pStyle w:val="NormalWeb"/>
        <w:spacing w:before="0" w:beforeAutospacing="0" w:after="0" w:afterAutospacing="0"/>
        <w:rPr>
          <w:rFonts w:ascii="Calibri" w:hAnsi="Calibri"/>
          <w:color w:val="808080"/>
          <w:sz w:val="20"/>
          <w:szCs w:val="20"/>
        </w:rPr>
      </w:pPr>
      <w:r>
        <w:rPr>
          <w:rFonts w:ascii="Calibri" w:hAnsi="Calibri"/>
          <w:color w:val="808080"/>
          <w:sz w:val="20"/>
          <w:szCs w:val="20"/>
        </w:rPr>
        <w:t xml:space="preserve"> </w:t>
      </w:r>
    </w:p>
    <w:p w:rsidR="000358FE" w:rsidRPr="000358FE" w:rsidRDefault="000358FE" w:rsidP="001838D6">
      <w:pPr>
        <w:pStyle w:val="NormalWeb"/>
        <w:spacing w:before="0" w:beforeAutospacing="0" w:after="0" w:afterAutospacing="0"/>
        <w:rPr>
          <w:rFonts w:ascii="Calibri" w:hAnsi="Calibri"/>
          <w:b/>
          <w:bCs/>
          <w:color w:val="000000"/>
          <w:sz w:val="22"/>
          <w:szCs w:val="22"/>
          <w:u w:val="single"/>
        </w:rPr>
      </w:pPr>
      <w:r w:rsidRPr="000358FE">
        <w:rPr>
          <w:rFonts w:ascii="Calibri" w:hAnsi="Calibri"/>
          <w:b/>
          <w:bCs/>
          <w:color w:val="000000"/>
          <w:sz w:val="22"/>
          <w:szCs w:val="22"/>
          <w:u w:val="single"/>
        </w:rPr>
        <w:t>Welcome and Intr</w:t>
      </w:r>
      <w:r w:rsidR="00571DC7">
        <w:rPr>
          <w:rFonts w:ascii="Calibri" w:hAnsi="Calibri"/>
          <w:b/>
          <w:bCs/>
          <w:color w:val="000000"/>
          <w:sz w:val="22"/>
          <w:szCs w:val="22"/>
          <w:u w:val="single"/>
        </w:rPr>
        <w:t xml:space="preserve">oductions – </w:t>
      </w:r>
      <w:r w:rsidR="00D812A0" w:rsidRPr="00D812A0">
        <w:rPr>
          <w:rFonts w:ascii="Calibri" w:hAnsi="Calibri"/>
          <w:b/>
          <w:bCs/>
          <w:color w:val="000000"/>
          <w:sz w:val="22"/>
          <w:szCs w:val="22"/>
          <w:u w:val="single"/>
        </w:rPr>
        <w:t>Mr. Mike Kelly, Director, MWR &amp; Resale Policy</w:t>
      </w:r>
    </w:p>
    <w:p w:rsidR="00571DC7" w:rsidRDefault="004B1B9D" w:rsidP="000358FE">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Mike </w:t>
      </w:r>
      <w:r w:rsidR="004D38FE">
        <w:rPr>
          <w:rFonts w:ascii="Calibri" w:hAnsi="Calibri"/>
          <w:color w:val="000000"/>
          <w:sz w:val="22"/>
          <w:szCs w:val="22"/>
        </w:rPr>
        <w:t xml:space="preserve">Kelly </w:t>
      </w:r>
      <w:r>
        <w:rPr>
          <w:rFonts w:ascii="Calibri" w:hAnsi="Calibri"/>
          <w:color w:val="000000"/>
          <w:sz w:val="22"/>
          <w:szCs w:val="22"/>
        </w:rPr>
        <w:t xml:space="preserve">expressed his excitement about the progress the working </w:t>
      </w:r>
      <w:r w:rsidR="0097673B">
        <w:rPr>
          <w:rFonts w:ascii="Calibri" w:hAnsi="Calibri"/>
          <w:color w:val="000000"/>
          <w:sz w:val="22"/>
          <w:szCs w:val="22"/>
        </w:rPr>
        <w:t xml:space="preserve">group </w:t>
      </w:r>
      <w:r>
        <w:rPr>
          <w:rFonts w:ascii="Calibri" w:hAnsi="Calibri"/>
          <w:color w:val="000000"/>
          <w:sz w:val="22"/>
          <w:szCs w:val="22"/>
        </w:rPr>
        <w:t>has made.</w:t>
      </w:r>
    </w:p>
    <w:p w:rsidR="004B1B9D" w:rsidRDefault="004B1B9D" w:rsidP="000358FE">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Mike </w:t>
      </w:r>
      <w:r w:rsidR="009F2771">
        <w:rPr>
          <w:rFonts w:ascii="Calibri" w:hAnsi="Calibri"/>
          <w:color w:val="000000"/>
          <w:sz w:val="22"/>
          <w:szCs w:val="22"/>
        </w:rPr>
        <w:t>f</w:t>
      </w:r>
      <w:r>
        <w:rPr>
          <w:rFonts w:ascii="Calibri" w:hAnsi="Calibri"/>
          <w:color w:val="000000"/>
          <w:sz w:val="22"/>
          <w:szCs w:val="22"/>
        </w:rPr>
        <w:t>ormally welcomed Mike Curtis to the working group.</w:t>
      </w:r>
    </w:p>
    <w:p w:rsidR="004B1B9D" w:rsidRDefault="004B1B9D" w:rsidP="000358FE">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Justin </w:t>
      </w:r>
      <w:r w:rsidR="0097673B">
        <w:rPr>
          <w:rFonts w:ascii="Calibri" w:hAnsi="Calibri"/>
          <w:color w:val="000000"/>
          <w:sz w:val="22"/>
          <w:szCs w:val="22"/>
        </w:rPr>
        <w:t xml:space="preserve">Hall </w:t>
      </w:r>
      <w:r>
        <w:rPr>
          <w:rFonts w:ascii="Calibri" w:hAnsi="Calibri"/>
          <w:color w:val="000000"/>
          <w:sz w:val="22"/>
          <w:szCs w:val="22"/>
        </w:rPr>
        <w:t>noted that</w:t>
      </w:r>
      <w:r w:rsidR="0097673B">
        <w:rPr>
          <w:rFonts w:ascii="Calibri" w:hAnsi="Calibri"/>
          <w:color w:val="000000"/>
          <w:sz w:val="22"/>
          <w:szCs w:val="22"/>
        </w:rPr>
        <w:t xml:space="preserve"> this working group session is</w:t>
      </w:r>
      <w:r>
        <w:rPr>
          <w:rFonts w:ascii="Calibri" w:hAnsi="Calibri"/>
          <w:color w:val="000000"/>
          <w:sz w:val="22"/>
          <w:szCs w:val="22"/>
        </w:rPr>
        <w:t xml:space="preserve"> not focus</w:t>
      </w:r>
      <w:r w:rsidR="0097673B">
        <w:rPr>
          <w:rFonts w:ascii="Calibri" w:hAnsi="Calibri"/>
          <w:color w:val="000000"/>
          <w:sz w:val="22"/>
          <w:szCs w:val="22"/>
        </w:rPr>
        <w:t>ing</w:t>
      </w:r>
      <w:r>
        <w:rPr>
          <w:rFonts w:ascii="Calibri" w:hAnsi="Calibri"/>
          <w:color w:val="000000"/>
          <w:sz w:val="22"/>
          <w:szCs w:val="22"/>
        </w:rPr>
        <w:t xml:space="preserve"> on the NAFSGL. He and Mike Curtis are working on the approval package and moving information from the FMR to a website.</w:t>
      </w:r>
    </w:p>
    <w:p w:rsidR="004B1B9D" w:rsidRDefault="004B1B9D" w:rsidP="004B1B9D">
      <w:pPr>
        <w:pStyle w:val="NormalWeb"/>
        <w:numPr>
          <w:ilvl w:val="1"/>
          <w:numId w:val="14"/>
        </w:numPr>
        <w:spacing w:before="0" w:beforeAutospacing="0" w:after="0" w:afterAutospacing="0"/>
        <w:rPr>
          <w:rFonts w:ascii="Calibri" w:hAnsi="Calibri"/>
          <w:color w:val="000000"/>
          <w:sz w:val="22"/>
          <w:szCs w:val="22"/>
        </w:rPr>
      </w:pPr>
      <w:r>
        <w:rPr>
          <w:rFonts w:ascii="Calibri" w:hAnsi="Calibri"/>
          <w:color w:val="000000"/>
          <w:sz w:val="22"/>
          <w:szCs w:val="22"/>
        </w:rPr>
        <w:t>The package will be sent to the military departments, OSD(C) and DFAS for coordination.</w:t>
      </w:r>
    </w:p>
    <w:p w:rsidR="004B1B9D" w:rsidRDefault="004B1B9D" w:rsidP="004B1B9D">
      <w:pPr>
        <w:pStyle w:val="NormalWeb"/>
        <w:numPr>
          <w:ilvl w:val="1"/>
          <w:numId w:val="14"/>
        </w:numPr>
        <w:spacing w:before="0" w:beforeAutospacing="0" w:after="0" w:afterAutospacing="0"/>
        <w:rPr>
          <w:rFonts w:ascii="Calibri" w:hAnsi="Calibri"/>
          <w:color w:val="000000"/>
          <w:sz w:val="22"/>
          <w:szCs w:val="22"/>
        </w:rPr>
      </w:pPr>
      <w:r>
        <w:rPr>
          <w:rFonts w:ascii="Calibri" w:hAnsi="Calibri"/>
          <w:color w:val="000000"/>
          <w:sz w:val="22"/>
          <w:szCs w:val="22"/>
        </w:rPr>
        <w:t>The account code elements are living documents and will continue to be refined and updated.</w:t>
      </w:r>
    </w:p>
    <w:p w:rsidR="00650037" w:rsidRDefault="00650037" w:rsidP="00650037">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Updates to 1015.15: This DoDI is long overdue for an update. Justin met with OGC about NAFI successor funds. Language about successor funds will be tightened up so it is </w:t>
      </w:r>
      <w:r w:rsidR="00AF30A5">
        <w:rPr>
          <w:rFonts w:ascii="Calibri" w:hAnsi="Calibri"/>
          <w:color w:val="000000"/>
          <w:sz w:val="22"/>
          <w:szCs w:val="22"/>
        </w:rPr>
        <w:t>clearer</w:t>
      </w:r>
      <w:r>
        <w:rPr>
          <w:rFonts w:ascii="Calibri" w:hAnsi="Calibri"/>
          <w:color w:val="000000"/>
          <w:sz w:val="22"/>
          <w:szCs w:val="22"/>
        </w:rPr>
        <w:t>.</w:t>
      </w:r>
    </w:p>
    <w:p w:rsidR="00DC1414" w:rsidRDefault="00DC1414" w:rsidP="00DC1414">
      <w:pPr>
        <w:pStyle w:val="NormalWeb"/>
        <w:spacing w:before="0" w:beforeAutospacing="0" w:after="0" w:afterAutospacing="0"/>
        <w:ind w:left="720"/>
        <w:rPr>
          <w:rFonts w:ascii="Calibri" w:hAnsi="Calibri"/>
          <w:color w:val="000000"/>
          <w:sz w:val="22"/>
          <w:szCs w:val="22"/>
        </w:rPr>
      </w:pPr>
    </w:p>
    <w:p w:rsidR="00DC1414" w:rsidRPr="000358FE" w:rsidRDefault="00DC1414" w:rsidP="00DC1414">
      <w:pPr>
        <w:pStyle w:val="NormalWeb"/>
        <w:spacing w:before="0" w:beforeAutospacing="0" w:after="0" w:afterAutospacing="0"/>
        <w:rPr>
          <w:rFonts w:ascii="Calibri" w:hAnsi="Calibri"/>
          <w:b/>
          <w:bCs/>
          <w:color w:val="000000"/>
          <w:sz w:val="22"/>
          <w:szCs w:val="22"/>
          <w:u w:val="single"/>
        </w:rPr>
      </w:pPr>
      <w:r w:rsidRPr="00DC1414">
        <w:rPr>
          <w:rFonts w:ascii="Calibri" w:hAnsi="Calibri"/>
          <w:b/>
          <w:bCs/>
          <w:color w:val="000000"/>
          <w:sz w:val="22"/>
          <w:szCs w:val="22"/>
          <w:u w:val="single"/>
        </w:rPr>
        <w:t>Initiative Status Update – Mr. Jeremy Blain, Grant Thornton</w:t>
      </w:r>
    </w:p>
    <w:p w:rsidR="0020177C" w:rsidRDefault="003946CD" w:rsidP="00D82763">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Conducted one-on-one </w:t>
      </w:r>
      <w:r w:rsidR="009F2771">
        <w:rPr>
          <w:rFonts w:ascii="Calibri" w:hAnsi="Calibri"/>
          <w:color w:val="000000"/>
          <w:sz w:val="22"/>
          <w:szCs w:val="22"/>
        </w:rPr>
        <w:t>teleconferences</w:t>
      </w:r>
      <w:r>
        <w:rPr>
          <w:rFonts w:ascii="Calibri" w:hAnsi="Calibri"/>
          <w:color w:val="000000"/>
          <w:sz w:val="22"/>
          <w:szCs w:val="22"/>
        </w:rPr>
        <w:t xml:space="preserve"> with the Services to discuss any last issues.</w:t>
      </w:r>
    </w:p>
    <w:p w:rsidR="003946CD" w:rsidRDefault="003946CD" w:rsidP="00D82763">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The Activities and Cost Centers lists </w:t>
      </w:r>
      <w:r w:rsidR="009F2771">
        <w:rPr>
          <w:rFonts w:ascii="Calibri" w:hAnsi="Calibri"/>
          <w:color w:val="000000"/>
          <w:sz w:val="22"/>
          <w:szCs w:val="22"/>
        </w:rPr>
        <w:t xml:space="preserve">have been </w:t>
      </w:r>
      <w:r>
        <w:rPr>
          <w:rFonts w:ascii="Calibri" w:hAnsi="Calibri"/>
          <w:color w:val="000000"/>
          <w:sz w:val="22"/>
          <w:szCs w:val="22"/>
        </w:rPr>
        <w:t xml:space="preserve">joined. </w:t>
      </w:r>
      <w:r w:rsidR="0097673B">
        <w:rPr>
          <w:rFonts w:ascii="Calibri" w:hAnsi="Calibri"/>
          <w:color w:val="000000"/>
          <w:sz w:val="22"/>
          <w:szCs w:val="22"/>
        </w:rPr>
        <w:t xml:space="preserve">This </w:t>
      </w:r>
      <w:r>
        <w:rPr>
          <w:rFonts w:ascii="Calibri" w:hAnsi="Calibri"/>
          <w:color w:val="000000"/>
          <w:sz w:val="22"/>
          <w:szCs w:val="22"/>
        </w:rPr>
        <w:t>help</w:t>
      </w:r>
      <w:r w:rsidR="0097673B">
        <w:rPr>
          <w:rFonts w:ascii="Calibri" w:hAnsi="Calibri"/>
          <w:color w:val="000000"/>
          <w:sz w:val="22"/>
          <w:szCs w:val="22"/>
        </w:rPr>
        <w:t>s</w:t>
      </w:r>
      <w:r>
        <w:rPr>
          <w:rFonts w:ascii="Calibri" w:hAnsi="Calibri"/>
          <w:color w:val="000000"/>
          <w:sz w:val="22"/>
          <w:szCs w:val="22"/>
        </w:rPr>
        <w:t xml:space="preserve"> identify proper cost centers since certain cost centers align</w:t>
      </w:r>
      <w:r w:rsidR="00E74008">
        <w:rPr>
          <w:rFonts w:ascii="Calibri" w:hAnsi="Calibri"/>
          <w:color w:val="000000"/>
          <w:sz w:val="22"/>
          <w:szCs w:val="22"/>
        </w:rPr>
        <w:t xml:space="preserve"> only</w:t>
      </w:r>
      <w:r>
        <w:rPr>
          <w:rFonts w:ascii="Calibri" w:hAnsi="Calibri"/>
          <w:color w:val="000000"/>
          <w:sz w:val="22"/>
          <w:szCs w:val="22"/>
        </w:rPr>
        <w:t xml:space="preserve"> to specific activities.</w:t>
      </w:r>
    </w:p>
    <w:p w:rsidR="003946CD" w:rsidRDefault="003946CD" w:rsidP="00D82763">
      <w:pPr>
        <w:pStyle w:val="NormalWeb"/>
        <w:numPr>
          <w:ilvl w:val="0"/>
          <w:numId w:val="14"/>
        </w:numPr>
        <w:spacing w:before="0" w:beforeAutospacing="0" w:after="0" w:afterAutospacing="0"/>
        <w:rPr>
          <w:rFonts w:ascii="Calibri" w:hAnsi="Calibri"/>
          <w:color w:val="000000"/>
          <w:sz w:val="22"/>
          <w:szCs w:val="22"/>
        </w:rPr>
      </w:pPr>
      <w:r w:rsidRPr="003946CD">
        <w:rPr>
          <w:rFonts w:ascii="Calibri" w:hAnsi="Calibri"/>
          <w:b/>
          <w:color w:val="C00000"/>
          <w:sz w:val="22"/>
          <w:szCs w:val="22"/>
        </w:rPr>
        <w:t xml:space="preserve">Action Item: </w:t>
      </w:r>
      <w:r w:rsidRPr="003946CD">
        <w:rPr>
          <w:rFonts w:ascii="Calibri" w:hAnsi="Calibri"/>
          <w:color w:val="000000"/>
          <w:sz w:val="22"/>
          <w:szCs w:val="22"/>
        </w:rPr>
        <w:t xml:space="preserve">Services to let </w:t>
      </w:r>
      <w:r>
        <w:rPr>
          <w:rFonts w:ascii="Calibri" w:hAnsi="Calibri"/>
          <w:color w:val="000000"/>
          <w:sz w:val="22"/>
          <w:szCs w:val="22"/>
        </w:rPr>
        <w:t>GT know if certain cost centers need to be moved/added to a specific activity.</w:t>
      </w:r>
    </w:p>
    <w:p w:rsidR="003946CD" w:rsidRDefault="003946CD" w:rsidP="00D82763">
      <w:pPr>
        <w:pStyle w:val="NormalWeb"/>
        <w:numPr>
          <w:ilvl w:val="0"/>
          <w:numId w:val="14"/>
        </w:numPr>
        <w:spacing w:before="0" w:beforeAutospacing="0" w:after="0" w:afterAutospacing="0"/>
        <w:rPr>
          <w:rFonts w:ascii="Calibri" w:hAnsi="Calibri"/>
          <w:color w:val="000000"/>
          <w:sz w:val="22"/>
          <w:szCs w:val="22"/>
        </w:rPr>
      </w:pPr>
      <w:r w:rsidRPr="003946CD">
        <w:rPr>
          <w:rFonts w:ascii="Calibri" w:hAnsi="Calibri"/>
          <w:color w:val="000000"/>
          <w:sz w:val="22"/>
          <w:szCs w:val="22"/>
        </w:rPr>
        <w:t xml:space="preserve">GT reviewing the final installation lists to delineate between installations and NAFI funds. </w:t>
      </w:r>
    </w:p>
    <w:p w:rsidR="003946CD" w:rsidRDefault="009F2771" w:rsidP="00D82763">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NAFSGL Standard Framework</w:t>
      </w:r>
      <w:r w:rsidR="003946CD">
        <w:rPr>
          <w:rFonts w:ascii="Calibri" w:hAnsi="Calibri"/>
          <w:color w:val="000000"/>
          <w:sz w:val="22"/>
          <w:szCs w:val="22"/>
        </w:rPr>
        <w:t xml:space="preserve"> has </w:t>
      </w:r>
      <w:r>
        <w:rPr>
          <w:rFonts w:ascii="Calibri" w:hAnsi="Calibri"/>
          <w:color w:val="000000"/>
          <w:sz w:val="22"/>
          <w:szCs w:val="22"/>
        </w:rPr>
        <w:t xml:space="preserve">24 </w:t>
      </w:r>
      <w:r w:rsidR="003946CD">
        <w:rPr>
          <w:rFonts w:ascii="Calibri" w:hAnsi="Calibri"/>
          <w:color w:val="000000"/>
          <w:sz w:val="22"/>
          <w:szCs w:val="22"/>
        </w:rPr>
        <w:t>digits</w:t>
      </w:r>
      <w:r>
        <w:rPr>
          <w:rFonts w:ascii="Calibri" w:hAnsi="Calibri"/>
          <w:color w:val="000000"/>
          <w:sz w:val="22"/>
          <w:szCs w:val="22"/>
        </w:rPr>
        <w:t xml:space="preserve"> (8 of which are Service specific)</w:t>
      </w:r>
      <w:r w:rsidR="003946CD">
        <w:rPr>
          <w:rFonts w:ascii="Calibri" w:hAnsi="Calibri"/>
          <w:color w:val="000000"/>
          <w:sz w:val="22"/>
          <w:szCs w:val="22"/>
        </w:rPr>
        <w:t xml:space="preserve"> but Service </w:t>
      </w:r>
      <w:r w:rsidR="002E621E">
        <w:rPr>
          <w:rFonts w:ascii="Calibri" w:hAnsi="Calibri"/>
          <w:color w:val="000000"/>
          <w:sz w:val="22"/>
          <w:szCs w:val="22"/>
        </w:rPr>
        <w:t xml:space="preserve">financial </w:t>
      </w:r>
      <w:r w:rsidR="003946CD">
        <w:rPr>
          <w:rFonts w:ascii="Calibri" w:hAnsi="Calibri"/>
          <w:color w:val="000000"/>
          <w:sz w:val="22"/>
          <w:szCs w:val="22"/>
        </w:rPr>
        <w:t>systems may have more. This is ok. The request is to make sure that OSD requested information can map to the OSD</w:t>
      </w:r>
      <w:r w:rsidR="002E621E">
        <w:rPr>
          <w:rFonts w:ascii="Calibri" w:hAnsi="Calibri"/>
          <w:color w:val="000000"/>
          <w:sz w:val="22"/>
          <w:szCs w:val="22"/>
        </w:rPr>
        <w:t xml:space="preserve"> specific</w:t>
      </w:r>
      <w:r w:rsidR="003946CD">
        <w:rPr>
          <w:rFonts w:ascii="Calibri" w:hAnsi="Calibri"/>
          <w:color w:val="000000"/>
          <w:sz w:val="22"/>
          <w:szCs w:val="22"/>
        </w:rPr>
        <w:t xml:space="preserve"> </w:t>
      </w:r>
      <w:r w:rsidR="002E621E">
        <w:rPr>
          <w:rFonts w:ascii="Calibri" w:hAnsi="Calibri"/>
          <w:color w:val="000000"/>
          <w:sz w:val="22"/>
          <w:szCs w:val="22"/>
        </w:rPr>
        <w:t>16</w:t>
      </w:r>
      <w:r w:rsidR="003946CD">
        <w:rPr>
          <w:rFonts w:ascii="Calibri" w:hAnsi="Calibri"/>
          <w:color w:val="000000"/>
          <w:sz w:val="22"/>
          <w:szCs w:val="22"/>
        </w:rPr>
        <w:t xml:space="preserve"> digits.</w:t>
      </w:r>
    </w:p>
    <w:p w:rsidR="003946CD" w:rsidRDefault="00FF3403" w:rsidP="00D82763">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lastRenderedPageBreak/>
        <w:t>Mike Curtis and GT will conduct site visits in the next month and a half to discuss IT implementation, reporting, and change management.</w:t>
      </w:r>
    </w:p>
    <w:p w:rsidR="00FF3403" w:rsidRDefault="00FF3403" w:rsidP="00D82763">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NAF Accounting Board will be used to make changes to account code elements and to relevant policy</w:t>
      </w:r>
      <w:r w:rsidR="00DA3B26">
        <w:rPr>
          <w:rFonts w:ascii="Calibri" w:hAnsi="Calibri"/>
          <w:color w:val="000000"/>
          <w:sz w:val="22"/>
          <w:szCs w:val="22"/>
        </w:rPr>
        <w:t>.</w:t>
      </w:r>
    </w:p>
    <w:p w:rsidR="00DA3B26" w:rsidRDefault="00DA3B26" w:rsidP="00D82763">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Courtney asked if the package will address IT system requirements in addition to account code element details.</w:t>
      </w:r>
    </w:p>
    <w:p w:rsidR="00DA3B26" w:rsidRDefault="00DA3B26" w:rsidP="00DA3B26">
      <w:pPr>
        <w:pStyle w:val="NormalWeb"/>
        <w:numPr>
          <w:ilvl w:val="1"/>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Justin – Yes. The </w:t>
      </w:r>
      <w:r w:rsidR="002E621E">
        <w:rPr>
          <w:rFonts w:ascii="Calibri" w:hAnsi="Calibri"/>
          <w:color w:val="000000"/>
          <w:sz w:val="22"/>
          <w:szCs w:val="22"/>
        </w:rPr>
        <w:t xml:space="preserve">framework </w:t>
      </w:r>
      <w:r>
        <w:rPr>
          <w:rFonts w:ascii="Calibri" w:hAnsi="Calibri"/>
          <w:color w:val="000000"/>
          <w:sz w:val="22"/>
          <w:szCs w:val="22"/>
        </w:rPr>
        <w:t>diagram is the primary element getting approval and IT systems need to be able to support it. Systems must be able to accommodate OSD data calls</w:t>
      </w:r>
      <w:r w:rsidR="002E621E">
        <w:rPr>
          <w:rFonts w:ascii="Calibri" w:hAnsi="Calibri"/>
          <w:color w:val="000000"/>
          <w:sz w:val="22"/>
          <w:szCs w:val="22"/>
        </w:rPr>
        <w:t xml:space="preserve">.  </w:t>
      </w:r>
      <w:r>
        <w:rPr>
          <w:rFonts w:ascii="Calibri" w:hAnsi="Calibri"/>
          <w:color w:val="000000"/>
          <w:sz w:val="22"/>
          <w:szCs w:val="22"/>
        </w:rPr>
        <w:t xml:space="preserve"> </w:t>
      </w:r>
      <w:r w:rsidR="002E621E">
        <w:rPr>
          <w:rFonts w:ascii="Calibri" w:hAnsi="Calibri"/>
          <w:color w:val="000000"/>
          <w:sz w:val="22"/>
          <w:szCs w:val="22"/>
        </w:rPr>
        <w:t>How</w:t>
      </w:r>
      <w:r>
        <w:rPr>
          <w:rFonts w:ascii="Calibri" w:hAnsi="Calibri"/>
          <w:color w:val="000000"/>
          <w:sz w:val="22"/>
          <w:szCs w:val="22"/>
        </w:rPr>
        <w:t xml:space="preserve"> that information is retrieved is up to the Services.</w:t>
      </w:r>
    </w:p>
    <w:p w:rsidR="00D637A5" w:rsidRPr="00D637A5" w:rsidRDefault="00D637A5" w:rsidP="00D637A5">
      <w:pPr>
        <w:pStyle w:val="NormalWeb"/>
        <w:numPr>
          <w:ilvl w:val="1"/>
          <w:numId w:val="14"/>
        </w:numPr>
        <w:spacing w:before="0" w:beforeAutospacing="0" w:after="0" w:afterAutospacing="0"/>
        <w:rPr>
          <w:rFonts w:ascii="Calibri" w:hAnsi="Calibri"/>
          <w:color w:val="000000"/>
          <w:sz w:val="22"/>
          <w:szCs w:val="22"/>
        </w:rPr>
      </w:pPr>
      <w:r>
        <w:rPr>
          <w:rFonts w:ascii="Calibri" w:hAnsi="Calibri"/>
          <w:color w:val="000000"/>
          <w:sz w:val="22"/>
          <w:szCs w:val="22"/>
        </w:rPr>
        <w:t>The common a</w:t>
      </w:r>
      <w:r w:rsidR="007A79BB">
        <w:rPr>
          <w:rFonts w:ascii="Calibri" w:hAnsi="Calibri"/>
          <w:color w:val="000000"/>
          <w:sz w:val="22"/>
          <w:szCs w:val="22"/>
        </w:rPr>
        <w:t>ccount code elements will be the</w:t>
      </w:r>
      <w:r>
        <w:rPr>
          <w:rFonts w:ascii="Calibri" w:hAnsi="Calibri"/>
          <w:color w:val="000000"/>
          <w:sz w:val="22"/>
          <w:szCs w:val="22"/>
        </w:rPr>
        <w:t xml:space="preserve"> Services’ general ledger. Don’t want Services using a different general ledger. However, Services don’t need to key in every digit for each transaction. Services can use reference tables and behind-the-scenes automation to enter data.</w:t>
      </w:r>
    </w:p>
    <w:p w:rsidR="00D812A0" w:rsidRDefault="00D812A0" w:rsidP="00D812A0">
      <w:pPr>
        <w:pStyle w:val="NormalWeb"/>
        <w:spacing w:before="0" w:beforeAutospacing="0" w:after="0" w:afterAutospacing="0"/>
        <w:rPr>
          <w:rFonts w:ascii="Calibri" w:hAnsi="Calibri"/>
          <w:color w:val="000000"/>
          <w:sz w:val="22"/>
          <w:szCs w:val="22"/>
        </w:rPr>
      </w:pPr>
    </w:p>
    <w:p w:rsidR="00D812A0" w:rsidRDefault="00D812A0" w:rsidP="00D812A0">
      <w:pPr>
        <w:pStyle w:val="NormalWeb"/>
        <w:spacing w:before="0" w:beforeAutospacing="0" w:after="0" w:afterAutospacing="0"/>
        <w:rPr>
          <w:rFonts w:ascii="Calibri" w:hAnsi="Calibri"/>
          <w:b/>
          <w:bCs/>
          <w:color w:val="000000"/>
          <w:sz w:val="22"/>
          <w:szCs w:val="22"/>
          <w:u w:val="single"/>
        </w:rPr>
      </w:pPr>
      <w:r w:rsidRPr="00D812A0">
        <w:rPr>
          <w:rFonts w:ascii="Calibri" w:hAnsi="Calibri"/>
          <w:b/>
          <w:bCs/>
          <w:color w:val="000000"/>
          <w:sz w:val="22"/>
          <w:szCs w:val="22"/>
          <w:u w:val="single"/>
        </w:rPr>
        <w:t xml:space="preserve">Policy and Guidance Research and Analysis Preliminary Results – Mr. Mark Douek/Mr. Jeremy Blain </w:t>
      </w:r>
    </w:p>
    <w:p w:rsidR="00802768" w:rsidRPr="00802768" w:rsidRDefault="00802768" w:rsidP="00D812A0">
      <w:pPr>
        <w:pStyle w:val="NormalWeb"/>
        <w:numPr>
          <w:ilvl w:val="0"/>
          <w:numId w:val="14"/>
        </w:numPr>
        <w:spacing w:before="0" w:beforeAutospacing="0" w:after="0" w:afterAutospacing="0"/>
        <w:rPr>
          <w:rFonts w:ascii="Calibri" w:hAnsi="Calibri"/>
          <w:color w:val="000000"/>
          <w:sz w:val="22"/>
          <w:szCs w:val="22"/>
        </w:rPr>
      </w:pPr>
      <w:r w:rsidRPr="00802768">
        <w:rPr>
          <w:rFonts w:ascii="Calibri" w:hAnsi="Calibri"/>
          <w:color w:val="000000"/>
          <w:sz w:val="22"/>
          <w:szCs w:val="22"/>
        </w:rPr>
        <w:t>There are a number of areas where the accounting practice</w:t>
      </w:r>
      <w:r w:rsidR="002B2133">
        <w:rPr>
          <w:rFonts w:ascii="Calibri" w:hAnsi="Calibri"/>
          <w:color w:val="000000"/>
          <w:sz w:val="22"/>
          <w:szCs w:val="22"/>
        </w:rPr>
        <w:t>s</w:t>
      </w:r>
      <w:r w:rsidRPr="00802768">
        <w:rPr>
          <w:rFonts w:ascii="Calibri" w:hAnsi="Calibri"/>
          <w:color w:val="000000"/>
          <w:sz w:val="22"/>
          <w:szCs w:val="22"/>
        </w:rPr>
        <w:t xml:space="preserve"> across the Services differ from each other and from the FMR policy.</w:t>
      </w:r>
    </w:p>
    <w:p w:rsidR="00D812A0" w:rsidRPr="00BC68BE" w:rsidRDefault="00802768" w:rsidP="00D812A0">
      <w:pPr>
        <w:pStyle w:val="NormalWeb"/>
        <w:numPr>
          <w:ilvl w:val="0"/>
          <w:numId w:val="14"/>
        </w:numPr>
        <w:spacing w:before="0" w:beforeAutospacing="0" w:after="0" w:afterAutospacing="0"/>
        <w:rPr>
          <w:rFonts w:ascii="Calibri" w:hAnsi="Calibri"/>
          <w:b/>
          <w:color w:val="000000"/>
          <w:sz w:val="22"/>
          <w:szCs w:val="22"/>
        </w:rPr>
      </w:pPr>
      <w:r w:rsidRPr="00802768">
        <w:rPr>
          <w:rFonts w:ascii="Calibri" w:hAnsi="Calibri"/>
          <w:b/>
          <w:color w:val="000000"/>
          <w:sz w:val="22"/>
          <w:szCs w:val="22"/>
        </w:rPr>
        <w:t>Extraordinary Items</w:t>
      </w:r>
      <w:r>
        <w:rPr>
          <w:rFonts w:ascii="Calibri" w:hAnsi="Calibri"/>
          <w:b/>
          <w:color w:val="000000"/>
          <w:sz w:val="22"/>
          <w:szCs w:val="22"/>
        </w:rPr>
        <w:t xml:space="preserve">: </w:t>
      </w:r>
      <w:r w:rsidR="00BC68BE">
        <w:rPr>
          <w:rFonts w:ascii="Calibri" w:hAnsi="Calibri"/>
          <w:color w:val="000000"/>
          <w:sz w:val="22"/>
          <w:szCs w:val="22"/>
        </w:rPr>
        <w:t>FMR definition of extraordinary items is not same as GAAP. Neither is the definition that some Services use.</w:t>
      </w:r>
    </w:p>
    <w:p w:rsidR="00BC68BE" w:rsidRPr="00BC68BE" w:rsidRDefault="00BC68BE" w:rsidP="00BC68BE">
      <w:pPr>
        <w:pStyle w:val="NormalWeb"/>
        <w:numPr>
          <w:ilvl w:val="1"/>
          <w:numId w:val="14"/>
        </w:numPr>
        <w:spacing w:before="0" w:beforeAutospacing="0" w:after="0" w:afterAutospacing="0"/>
        <w:rPr>
          <w:rFonts w:ascii="Calibri" w:hAnsi="Calibri"/>
          <w:b/>
          <w:color w:val="000000"/>
          <w:sz w:val="22"/>
          <w:szCs w:val="22"/>
        </w:rPr>
      </w:pPr>
      <w:r>
        <w:rPr>
          <w:rFonts w:ascii="Calibri" w:hAnsi="Calibri"/>
          <w:b/>
          <w:color w:val="000000"/>
          <w:sz w:val="22"/>
          <w:szCs w:val="22"/>
        </w:rPr>
        <w:t>AF –</w:t>
      </w:r>
      <w:r w:rsidRPr="002B2133">
        <w:rPr>
          <w:rFonts w:ascii="Calibri" w:hAnsi="Calibri"/>
          <w:color w:val="000000"/>
          <w:sz w:val="22"/>
          <w:szCs w:val="22"/>
        </w:rPr>
        <w:t xml:space="preserve"> </w:t>
      </w:r>
      <w:r w:rsidR="002B2133" w:rsidRPr="002B2133">
        <w:rPr>
          <w:rFonts w:ascii="Calibri" w:hAnsi="Calibri"/>
          <w:color w:val="000000"/>
          <w:sz w:val="22"/>
          <w:szCs w:val="22"/>
        </w:rPr>
        <w:t>Accounts u</w:t>
      </w:r>
      <w:r w:rsidRPr="00BC68BE">
        <w:rPr>
          <w:rFonts w:ascii="Calibri" w:hAnsi="Calibri"/>
          <w:color w:val="000000"/>
          <w:sz w:val="22"/>
          <w:szCs w:val="22"/>
        </w:rPr>
        <w:t>sed for natural disasters. Use</w:t>
      </w:r>
      <w:r w:rsidR="002B2133">
        <w:rPr>
          <w:rFonts w:ascii="Calibri" w:hAnsi="Calibri"/>
          <w:color w:val="000000"/>
          <w:sz w:val="22"/>
          <w:szCs w:val="22"/>
        </w:rPr>
        <w:t>d</w:t>
      </w:r>
      <w:r w:rsidRPr="00BC68BE">
        <w:rPr>
          <w:rFonts w:ascii="Calibri" w:hAnsi="Calibri"/>
          <w:color w:val="000000"/>
          <w:sz w:val="22"/>
          <w:szCs w:val="22"/>
        </w:rPr>
        <w:t xml:space="preserve"> for base closures since it can take months to clean up and close down a base; don’t want to confuse data that people use.</w:t>
      </w:r>
      <w:r>
        <w:rPr>
          <w:rFonts w:ascii="Calibri" w:hAnsi="Calibri"/>
          <w:color w:val="000000"/>
          <w:sz w:val="22"/>
          <w:szCs w:val="22"/>
        </w:rPr>
        <w:t xml:space="preserve"> Complies with GAAP.</w:t>
      </w:r>
    </w:p>
    <w:p w:rsidR="00BC68BE" w:rsidRDefault="00BC68BE" w:rsidP="00BC68BE">
      <w:pPr>
        <w:pStyle w:val="NormalWeb"/>
        <w:numPr>
          <w:ilvl w:val="1"/>
          <w:numId w:val="14"/>
        </w:numPr>
        <w:spacing w:before="0" w:beforeAutospacing="0" w:after="0" w:afterAutospacing="0"/>
        <w:rPr>
          <w:rFonts w:ascii="Calibri" w:hAnsi="Calibri"/>
          <w:color w:val="000000"/>
          <w:sz w:val="22"/>
          <w:szCs w:val="22"/>
        </w:rPr>
      </w:pPr>
      <w:r>
        <w:rPr>
          <w:rFonts w:ascii="Calibri" w:hAnsi="Calibri"/>
          <w:b/>
          <w:color w:val="000000"/>
          <w:sz w:val="22"/>
          <w:szCs w:val="22"/>
        </w:rPr>
        <w:t xml:space="preserve">Army – </w:t>
      </w:r>
      <w:r w:rsidRPr="00BC68BE">
        <w:rPr>
          <w:rFonts w:ascii="Calibri" w:hAnsi="Calibri"/>
          <w:color w:val="000000"/>
          <w:sz w:val="22"/>
          <w:szCs w:val="22"/>
        </w:rPr>
        <w:t>Don’t remember extraordinary accounts being used. Complies with GAAP.</w:t>
      </w:r>
    </w:p>
    <w:p w:rsidR="00BC68BE" w:rsidRDefault="00BC68BE" w:rsidP="00BC68BE">
      <w:pPr>
        <w:pStyle w:val="NormalWeb"/>
        <w:numPr>
          <w:ilvl w:val="1"/>
          <w:numId w:val="14"/>
        </w:numPr>
        <w:spacing w:before="0" w:beforeAutospacing="0" w:after="0" w:afterAutospacing="0"/>
        <w:rPr>
          <w:rFonts w:ascii="Calibri" w:hAnsi="Calibri"/>
          <w:color w:val="000000"/>
          <w:sz w:val="22"/>
          <w:szCs w:val="22"/>
        </w:rPr>
      </w:pPr>
      <w:r>
        <w:rPr>
          <w:rFonts w:ascii="Calibri" w:hAnsi="Calibri"/>
          <w:b/>
          <w:color w:val="000000"/>
          <w:sz w:val="22"/>
          <w:szCs w:val="22"/>
        </w:rPr>
        <w:t>MC –</w:t>
      </w:r>
      <w:r>
        <w:rPr>
          <w:rFonts w:ascii="Calibri" w:hAnsi="Calibri"/>
          <w:color w:val="000000"/>
          <w:sz w:val="22"/>
          <w:szCs w:val="22"/>
        </w:rPr>
        <w:t xml:space="preserve"> Used for natural disasters. Can’t recall last time it was used.</w:t>
      </w:r>
    </w:p>
    <w:p w:rsidR="00BC68BE" w:rsidRDefault="00BC68BE" w:rsidP="00BC68BE">
      <w:pPr>
        <w:pStyle w:val="NormalWeb"/>
        <w:numPr>
          <w:ilvl w:val="1"/>
          <w:numId w:val="14"/>
        </w:numPr>
        <w:spacing w:before="0" w:beforeAutospacing="0" w:after="0" w:afterAutospacing="0"/>
        <w:rPr>
          <w:rFonts w:ascii="Calibri" w:hAnsi="Calibri"/>
          <w:color w:val="000000"/>
          <w:sz w:val="22"/>
          <w:szCs w:val="22"/>
        </w:rPr>
      </w:pPr>
      <w:r>
        <w:rPr>
          <w:rFonts w:ascii="Calibri" w:hAnsi="Calibri"/>
          <w:b/>
          <w:color w:val="000000"/>
          <w:sz w:val="22"/>
          <w:szCs w:val="22"/>
        </w:rPr>
        <w:t>Navy –</w:t>
      </w:r>
      <w:r>
        <w:rPr>
          <w:rFonts w:ascii="Calibri" w:hAnsi="Calibri"/>
          <w:color w:val="000000"/>
          <w:sz w:val="22"/>
          <w:szCs w:val="22"/>
        </w:rPr>
        <w:t xml:space="preserve"> Intended to record acts of God like natural disasters. Will adjust definition to use GAAP wording.</w:t>
      </w:r>
    </w:p>
    <w:p w:rsidR="007036FA" w:rsidRDefault="007036FA" w:rsidP="00BC68BE">
      <w:pPr>
        <w:pStyle w:val="NormalWeb"/>
        <w:numPr>
          <w:ilvl w:val="1"/>
          <w:numId w:val="14"/>
        </w:numPr>
        <w:spacing w:before="0" w:beforeAutospacing="0" w:after="0" w:afterAutospacing="0"/>
        <w:rPr>
          <w:rFonts w:ascii="Calibri" w:hAnsi="Calibri"/>
          <w:color w:val="000000"/>
          <w:sz w:val="22"/>
          <w:szCs w:val="22"/>
        </w:rPr>
      </w:pPr>
      <w:r>
        <w:rPr>
          <w:rFonts w:ascii="Calibri" w:hAnsi="Calibri"/>
          <w:color w:val="000000"/>
          <w:sz w:val="22"/>
          <w:szCs w:val="22"/>
        </w:rPr>
        <w:t>Zel will</w:t>
      </w:r>
      <w:r w:rsidR="002B2133">
        <w:rPr>
          <w:rFonts w:ascii="Calibri" w:hAnsi="Calibri"/>
          <w:color w:val="000000"/>
          <w:sz w:val="22"/>
          <w:szCs w:val="22"/>
        </w:rPr>
        <w:t xml:space="preserve"> work</w:t>
      </w:r>
      <w:r>
        <w:rPr>
          <w:rFonts w:ascii="Calibri" w:hAnsi="Calibri"/>
          <w:color w:val="000000"/>
          <w:sz w:val="22"/>
          <w:szCs w:val="22"/>
        </w:rPr>
        <w:t xml:space="preserve"> change FMR wording to be in line with GAAP.</w:t>
      </w:r>
    </w:p>
    <w:p w:rsidR="007036FA" w:rsidRPr="00BC68BE" w:rsidRDefault="007036FA" w:rsidP="00BC68BE">
      <w:pPr>
        <w:pStyle w:val="NormalWeb"/>
        <w:numPr>
          <w:ilvl w:val="1"/>
          <w:numId w:val="14"/>
        </w:numPr>
        <w:spacing w:before="0" w:beforeAutospacing="0" w:after="0" w:afterAutospacing="0"/>
        <w:rPr>
          <w:rFonts w:ascii="Calibri" w:hAnsi="Calibri"/>
          <w:color w:val="000000"/>
          <w:sz w:val="22"/>
          <w:szCs w:val="22"/>
        </w:rPr>
      </w:pPr>
      <w:r w:rsidRPr="007036FA">
        <w:rPr>
          <w:rFonts w:ascii="Calibri" w:hAnsi="Calibri"/>
          <w:b/>
          <w:color w:val="C00000"/>
          <w:sz w:val="22"/>
          <w:szCs w:val="22"/>
        </w:rPr>
        <w:t>Action Item:</w:t>
      </w:r>
      <w:r w:rsidRPr="007036FA">
        <w:rPr>
          <w:rFonts w:ascii="Calibri" w:hAnsi="Calibri"/>
          <w:color w:val="C00000"/>
          <w:sz w:val="22"/>
          <w:szCs w:val="22"/>
        </w:rPr>
        <w:t xml:space="preserve"> </w:t>
      </w:r>
      <w:r>
        <w:rPr>
          <w:rFonts w:ascii="Calibri" w:hAnsi="Calibri"/>
          <w:color w:val="000000"/>
          <w:sz w:val="22"/>
          <w:szCs w:val="22"/>
        </w:rPr>
        <w:t xml:space="preserve">GT to propose definition that limits </w:t>
      </w:r>
      <w:r w:rsidR="002B2133">
        <w:rPr>
          <w:rFonts w:ascii="Calibri" w:hAnsi="Calibri"/>
          <w:color w:val="000000"/>
          <w:sz w:val="22"/>
          <w:szCs w:val="22"/>
        </w:rPr>
        <w:t xml:space="preserve">account </w:t>
      </w:r>
      <w:r>
        <w:rPr>
          <w:rFonts w:ascii="Calibri" w:hAnsi="Calibri"/>
          <w:color w:val="000000"/>
          <w:sz w:val="22"/>
          <w:szCs w:val="22"/>
        </w:rPr>
        <w:t xml:space="preserve">use to events like natural disasters and base closures. </w:t>
      </w:r>
    </w:p>
    <w:p w:rsidR="000A1E00" w:rsidRPr="00A83C8A" w:rsidRDefault="000A1E00" w:rsidP="00D812A0">
      <w:pPr>
        <w:pStyle w:val="NormalWeb"/>
        <w:numPr>
          <w:ilvl w:val="0"/>
          <w:numId w:val="14"/>
        </w:numPr>
        <w:spacing w:before="0" w:beforeAutospacing="0" w:after="0" w:afterAutospacing="0"/>
        <w:rPr>
          <w:rFonts w:ascii="Calibri" w:hAnsi="Calibri"/>
          <w:b/>
          <w:color w:val="000000"/>
          <w:sz w:val="22"/>
          <w:szCs w:val="22"/>
        </w:rPr>
      </w:pPr>
      <w:r w:rsidRPr="000A1E00">
        <w:rPr>
          <w:rFonts w:ascii="Calibri" w:hAnsi="Calibri"/>
          <w:b/>
          <w:color w:val="000000"/>
          <w:sz w:val="22"/>
          <w:szCs w:val="22"/>
        </w:rPr>
        <w:t>Allowance for Doubtful Accounts:</w:t>
      </w:r>
      <w:r w:rsidR="00341324">
        <w:rPr>
          <w:rFonts w:ascii="Calibri" w:hAnsi="Calibri"/>
          <w:b/>
          <w:color w:val="000000"/>
          <w:sz w:val="22"/>
          <w:szCs w:val="22"/>
        </w:rPr>
        <w:t xml:space="preserve"> </w:t>
      </w:r>
      <w:r w:rsidR="00341324" w:rsidRPr="00A83C8A">
        <w:rPr>
          <w:rFonts w:ascii="Calibri" w:hAnsi="Calibri"/>
          <w:color w:val="000000"/>
          <w:sz w:val="22"/>
          <w:szCs w:val="22"/>
        </w:rPr>
        <w:t xml:space="preserve">FMR seems </w:t>
      </w:r>
      <w:r w:rsidR="00810228">
        <w:rPr>
          <w:rFonts w:ascii="Calibri" w:hAnsi="Calibri"/>
          <w:color w:val="000000"/>
          <w:sz w:val="22"/>
          <w:szCs w:val="22"/>
        </w:rPr>
        <w:t>to</w:t>
      </w:r>
      <w:r w:rsidR="00341324" w:rsidRPr="00A83C8A">
        <w:rPr>
          <w:rFonts w:ascii="Calibri" w:hAnsi="Calibri"/>
          <w:color w:val="000000"/>
          <w:sz w:val="22"/>
          <w:szCs w:val="22"/>
        </w:rPr>
        <w:t xml:space="preserve"> require use of an allowance for doubtful accounts to record estimated bad debt expense. GAAP requires an allowance for doubtful accounts and does not allow the use of the direct write-off method.</w:t>
      </w:r>
    </w:p>
    <w:p w:rsidR="00A83C8A" w:rsidRPr="00A83C8A" w:rsidRDefault="00A83C8A" w:rsidP="00A83C8A">
      <w:pPr>
        <w:pStyle w:val="NormalWeb"/>
        <w:numPr>
          <w:ilvl w:val="1"/>
          <w:numId w:val="14"/>
        </w:numPr>
        <w:spacing w:before="0" w:beforeAutospacing="0" w:after="0" w:afterAutospacing="0"/>
        <w:rPr>
          <w:rFonts w:ascii="Calibri" w:hAnsi="Calibri"/>
          <w:b/>
          <w:color w:val="000000"/>
          <w:sz w:val="22"/>
          <w:szCs w:val="22"/>
        </w:rPr>
      </w:pPr>
      <w:r>
        <w:rPr>
          <w:rFonts w:ascii="Calibri" w:hAnsi="Calibri"/>
          <w:b/>
          <w:color w:val="000000"/>
          <w:sz w:val="22"/>
          <w:szCs w:val="22"/>
        </w:rPr>
        <w:t xml:space="preserve">AF – </w:t>
      </w:r>
      <w:r w:rsidRPr="00A83C8A">
        <w:rPr>
          <w:rFonts w:ascii="Calibri" w:hAnsi="Calibri"/>
          <w:color w:val="000000"/>
          <w:sz w:val="22"/>
          <w:szCs w:val="22"/>
        </w:rPr>
        <w:t>Has in policy to use allowance for doubtful accounts but does not maintain many in-house receivables so any bad debt expense would be immaterial.</w:t>
      </w:r>
    </w:p>
    <w:p w:rsidR="00A83C8A" w:rsidRPr="00F2366E" w:rsidRDefault="00F2366E" w:rsidP="00A83C8A">
      <w:pPr>
        <w:pStyle w:val="NormalWeb"/>
        <w:numPr>
          <w:ilvl w:val="1"/>
          <w:numId w:val="14"/>
        </w:numPr>
        <w:spacing w:before="0" w:beforeAutospacing="0" w:after="0" w:afterAutospacing="0"/>
        <w:rPr>
          <w:rFonts w:ascii="Calibri" w:hAnsi="Calibri"/>
          <w:b/>
          <w:color w:val="000000"/>
          <w:sz w:val="22"/>
          <w:szCs w:val="22"/>
        </w:rPr>
      </w:pPr>
      <w:r>
        <w:rPr>
          <w:rFonts w:ascii="Calibri" w:hAnsi="Calibri"/>
          <w:b/>
          <w:color w:val="000000"/>
          <w:sz w:val="22"/>
          <w:szCs w:val="22"/>
        </w:rPr>
        <w:t xml:space="preserve">Army – </w:t>
      </w:r>
      <w:r w:rsidRPr="00F2366E">
        <w:rPr>
          <w:rFonts w:ascii="Calibri" w:hAnsi="Calibri"/>
          <w:color w:val="000000"/>
          <w:sz w:val="22"/>
          <w:szCs w:val="22"/>
        </w:rPr>
        <w:t>Garrisons have option of using direct write-off method or allowance method. 90-95% of Garrisons choose the direct write-off method.</w:t>
      </w:r>
    </w:p>
    <w:p w:rsidR="00F2366E" w:rsidRPr="00EB15CE" w:rsidRDefault="00611762" w:rsidP="00A83C8A">
      <w:pPr>
        <w:pStyle w:val="NormalWeb"/>
        <w:numPr>
          <w:ilvl w:val="1"/>
          <w:numId w:val="14"/>
        </w:numPr>
        <w:spacing w:before="0" w:beforeAutospacing="0" w:after="0" w:afterAutospacing="0"/>
        <w:rPr>
          <w:rFonts w:ascii="Calibri" w:hAnsi="Calibri"/>
          <w:b/>
          <w:color w:val="000000"/>
          <w:sz w:val="22"/>
          <w:szCs w:val="22"/>
        </w:rPr>
      </w:pPr>
      <w:r>
        <w:rPr>
          <w:rFonts w:ascii="Calibri" w:hAnsi="Calibri"/>
          <w:b/>
          <w:color w:val="000000"/>
          <w:sz w:val="22"/>
          <w:szCs w:val="22"/>
        </w:rPr>
        <w:t xml:space="preserve">MC – </w:t>
      </w:r>
      <w:r w:rsidRPr="00611762">
        <w:rPr>
          <w:rFonts w:ascii="Calibri" w:hAnsi="Calibri"/>
          <w:color w:val="000000"/>
          <w:sz w:val="22"/>
          <w:szCs w:val="22"/>
        </w:rPr>
        <w:t>Uses the direct write-off</w:t>
      </w:r>
      <w:r w:rsidR="00810228">
        <w:rPr>
          <w:rFonts w:ascii="Calibri" w:hAnsi="Calibri"/>
          <w:color w:val="000000"/>
          <w:sz w:val="22"/>
          <w:szCs w:val="22"/>
        </w:rPr>
        <w:t xml:space="preserve"> method except for the star</w:t>
      </w:r>
      <w:r w:rsidRPr="00611762">
        <w:rPr>
          <w:rFonts w:ascii="Calibri" w:hAnsi="Calibri"/>
          <w:color w:val="000000"/>
          <w:sz w:val="22"/>
          <w:szCs w:val="22"/>
        </w:rPr>
        <w:t xml:space="preserve"> card for which </w:t>
      </w:r>
      <w:r w:rsidR="00810228">
        <w:rPr>
          <w:rFonts w:ascii="Calibri" w:hAnsi="Calibri"/>
          <w:color w:val="000000"/>
          <w:sz w:val="22"/>
          <w:szCs w:val="22"/>
        </w:rPr>
        <w:t>they use</w:t>
      </w:r>
      <w:r w:rsidRPr="00611762">
        <w:rPr>
          <w:rFonts w:ascii="Calibri" w:hAnsi="Calibri"/>
          <w:color w:val="000000"/>
          <w:sz w:val="22"/>
          <w:szCs w:val="22"/>
        </w:rPr>
        <w:t xml:space="preserve"> allowance method. Other than the star card, bad debt isn’t material.</w:t>
      </w:r>
    </w:p>
    <w:p w:rsidR="00EB15CE" w:rsidRPr="00787BA1" w:rsidRDefault="00EB15CE" w:rsidP="00A83C8A">
      <w:pPr>
        <w:pStyle w:val="NormalWeb"/>
        <w:numPr>
          <w:ilvl w:val="1"/>
          <w:numId w:val="14"/>
        </w:numPr>
        <w:spacing w:before="0" w:beforeAutospacing="0" w:after="0" w:afterAutospacing="0"/>
        <w:rPr>
          <w:rFonts w:ascii="Calibri" w:hAnsi="Calibri"/>
          <w:b/>
          <w:color w:val="000000"/>
          <w:sz w:val="22"/>
          <w:szCs w:val="22"/>
        </w:rPr>
      </w:pPr>
      <w:r>
        <w:rPr>
          <w:rFonts w:ascii="Calibri" w:hAnsi="Calibri"/>
          <w:b/>
          <w:color w:val="000000"/>
          <w:sz w:val="22"/>
          <w:szCs w:val="22"/>
        </w:rPr>
        <w:t xml:space="preserve">Navy – </w:t>
      </w:r>
      <w:r w:rsidRPr="00EB15CE">
        <w:rPr>
          <w:rFonts w:ascii="Calibri" w:hAnsi="Calibri"/>
          <w:color w:val="000000"/>
          <w:sz w:val="22"/>
          <w:szCs w:val="22"/>
        </w:rPr>
        <w:t>Uses direct write-off method only. Does not accept many checks anymore and any bad debts will be immaterial.</w:t>
      </w:r>
    </w:p>
    <w:p w:rsidR="00787BA1" w:rsidRPr="000A1E00" w:rsidRDefault="00787BA1" w:rsidP="00A83C8A">
      <w:pPr>
        <w:pStyle w:val="NormalWeb"/>
        <w:numPr>
          <w:ilvl w:val="1"/>
          <w:numId w:val="14"/>
        </w:numPr>
        <w:spacing w:before="0" w:beforeAutospacing="0" w:after="0" w:afterAutospacing="0"/>
        <w:rPr>
          <w:rFonts w:ascii="Calibri" w:hAnsi="Calibri"/>
          <w:b/>
          <w:color w:val="000000"/>
          <w:sz w:val="22"/>
          <w:szCs w:val="22"/>
        </w:rPr>
      </w:pPr>
      <w:r w:rsidRPr="00787BA1">
        <w:rPr>
          <w:rFonts w:ascii="Calibri" w:hAnsi="Calibri"/>
          <w:b/>
          <w:color w:val="C00000"/>
          <w:sz w:val="22"/>
          <w:szCs w:val="22"/>
        </w:rPr>
        <w:t xml:space="preserve">Action Item: </w:t>
      </w:r>
      <w:r w:rsidRPr="00787BA1">
        <w:rPr>
          <w:rFonts w:ascii="Calibri" w:hAnsi="Calibri"/>
          <w:color w:val="000000"/>
          <w:sz w:val="22"/>
          <w:szCs w:val="22"/>
        </w:rPr>
        <w:t>FMR to be rewritten to require allowance method if bad debt expense is expected to be material. If not, use direct write-off method.</w:t>
      </w:r>
      <w:r>
        <w:rPr>
          <w:rFonts w:ascii="Calibri" w:hAnsi="Calibri"/>
          <w:b/>
          <w:color w:val="000000"/>
          <w:sz w:val="22"/>
          <w:szCs w:val="22"/>
        </w:rPr>
        <w:t xml:space="preserve">  </w:t>
      </w:r>
    </w:p>
    <w:p w:rsidR="000A1E00" w:rsidRPr="003D6C08" w:rsidRDefault="000A1E00" w:rsidP="00D812A0">
      <w:pPr>
        <w:pStyle w:val="NormalWeb"/>
        <w:numPr>
          <w:ilvl w:val="0"/>
          <w:numId w:val="14"/>
        </w:numPr>
        <w:spacing w:before="0" w:beforeAutospacing="0" w:after="0" w:afterAutospacing="0"/>
        <w:rPr>
          <w:rFonts w:ascii="Calibri" w:hAnsi="Calibri"/>
          <w:b/>
          <w:color w:val="000000"/>
          <w:sz w:val="22"/>
          <w:szCs w:val="22"/>
        </w:rPr>
      </w:pPr>
      <w:r w:rsidRPr="000A1E00">
        <w:rPr>
          <w:rFonts w:ascii="Calibri" w:hAnsi="Calibri"/>
          <w:b/>
          <w:color w:val="000000"/>
          <w:sz w:val="22"/>
          <w:szCs w:val="22"/>
        </w:rPr>
        <w:t>Depreciation – Asset Useful Lives:</w:t>
      </w:r>
      <w:r w:rsidR="003D6C08">
        <w:rPr>
          <w:rFonts w:ascii="Calibri" w:hAnsi="Calibri"/>
          <w:b/>
          <w:color w:val="000000"/>
          <w:sz w:val="22"/>
          <w:szCs w:val="22"/>
        </w:rPr>
        <w:t xml:space="preserve"> </w:t>
      </w:r>
      <w:r w:rsidR="003D6C08">
        <w:rPr>
          <w:rFonts w:ascii="Calibri" w:hAnsi="Calibri"/>
          <w:color w:val="000000"/>
          <w:sz w:val="22"/>
          <w:szCs w:val="22"/>
        </w:rPr>
        <w:t>FMR has a table indicating asset useful lives to use when depreciating assets. Each Service has its own table for depreciation that does not match up with the FMR table.</w:t>
      </w:r>
    </w:p>
    <w:p w:rsidR="003D6C08" w:rsidRPr="0038203E" w:rsidRDefault="0038203E" w:rsidP="003D6C08">
      <w:pPr>
        <w:pStyle w:val="NormalWeb"/>
        <w:numPr>
          <w:ilvl w:val="1"/>
          <w:numId w:val="14"/>
        </w:numPr>
        <w:spacing w:before="0" w:beforeAutospacing="0" w:after="0" w:afterAutospacing="0"/>
        <w:rPr>
          <w:rFonts w:ascii="Calibri" w:hAnsi="Calibri"/>
          <w:b/>
          <w:color w:val="000000"/>
          <w:sz w:val="22"/>
          <w:szCs w:val="22"/>
        </w:rPr>
      </w:pPr>
      <w:r>
        <w:rPr>
          <w:rFonts w:ascii="Calibri" w:hAnsi="Calibri"/>
          <w:b/>
          <w:color w:val="000000"/>
          <w:sz w:val="22"/>
          <w:szCs w:val="22"/>
        </w:rPr>
        <w:t xml:space="preserve">AF – </w:t>
      </w:r>
      <w:r w:rsidRPr="0038203E">
        <w:rPr>
          <w:rFonts w:ascii="Calibri" w:hAnsi="Calibri"/>
          <w:color w:val="000000"/>
          <w:sz w:val="22"/>
          <w:szCs w:val="22"/>
        </w:rPr>
        <w:t>Useful lives depend on how the asset is used. The same asset can have two useful lives if used for two different purposes. Does not want to standardize useful lives.</w:t>
      </w:r>
    </w:p>
    <w:p w:rsidR="0038203E" w:rsidRPr="0038203E" w:rsidRDefault="0038203E" w:rsidP="003D6C08">
      <w:pPr>
        <w:pStyle w:val="NormalWeb"/>
        <w:numPr>
          <w:ilvl w:val="1"/>
          <w:numId w:val="14"/>
        </w:numPr>
        <w:spacing w:before="0" w:beforeAutospacing="0" w:after="0" w:afterAutospacing="0"/>
        <w:rPr>
          <w:rFonts w:ascii="Calibri" w:hAnsi="Calibri"/>
          <w:color w:val="000000"/>
          <w:sz w:val="22"/>
          <w:szCs w:val="22"/>
        </w:rPr>
      </w:pPr>
      <w:r>
        <w:rPr>
          <w:rFonts w:ascii="Calibri" w:hAnsi="Calibri"/>
          <w:b/>
          <w:color w:val="000000"/>
          <w:sz w:val="22"/>
          <w:szCs w:val="22"/>
        </w:rPr>
        <w:lastRenderedPageBreak/>
        <w:t xml:space="preserve">Army – </w:t>
      </w:r>
      <w:r w:rsidRPr="0038203E">
        <w:rPr>
          <w:rFonts w:ascii="Calibri" w:hAnsi="Calibri"/>
          <w:color w:val="000000"/>
          <w:sz w:val="22"/>
          <w:szCs w:val="22"/>
        </w:rPr>
        <w:t>Has its own table for useful lives that differs from FMR.</w:t>
      </w:r>
    </w:p>
    <w:p w:rsidR="0038203E" w:rsidRDefault="0038203E" w:rsidP="003D6C08">
      <w:pPr>
        <w:pStyle w:val="NormalWeb"/>
        <w:numPr>
          <w:ilvl w:val="1"/>
          <w:numId w:val="14"/>
        </w:numPr>
        <w:spacing w:before="0" w:beforeAutospacing="0" w:after="0" w:afterAutospacing="0"/>
        <w:rPr>
          <w:rFonts w:ascii="Calibri" w:hAnsi="Calibri"/>
          <w:b/>
          <w:color w:val="000000"/>
          <w:sz w:val="22"/>
          <w:szCs w:val="22"/>
        </w:rPr>
      </w:pPr>
      <w:r>
        <w:rPr>
          <w:rFonts w:ascii="Calibri" w:hAnsi="Calibri"/>
          <w:b/>
          <w:color w:val="000000"/>
          <w:sz w:val="22"/>
          <w:szCs w:val="22"/>
        </w:rPr>
        <w:t xml:space="preserve">MC – </w:t>
      </w:r>
      <w:r w:rsidRPr="0038203E">
        <w:rPr>
          <w:rFonts w:ascii="Calibri" w:hAnsi="Calibri"/>
          <w:color w:val="000000"/>
          <w:sz w:val="22"/>
          <w:szCs w:val="22"/>
        </w:rPr>
        <w:t>Has its own table for useful lives that differs from FMR; has a minimum to maximum range for each asset.</w:t>
      </w:r>
      <w:r>
        <w:rPr>
          <w:rFonts w:ascii="Calibri" w:hAnsi="Calibri"/>
          <w:b/>
          <w:color w:val="000000"/>
          <w:sz w:val="22"/>
          <w:szCs w:val="22"/>
        </w:rPr>
        <w:t xml:space="preserve"> </w:t>
      </w:r>
    </w:p>
    <w:p w:rsidR="00FE0980" w:rsidRDefault="00FE0980" w:rsidP="00FE0980">
      <w:pPr>
        <w:pStyle w:val="NormalWeb"/>
        <w:numPr>
          <w:ilvl w:val="1"/>
          <w:numId w:val="14"/>
        </w:numPr>
        <w:spacing w:before="0" w:beforeAutospacing="0" w:after="0" w:afterAutospacing="0"/>
        <w:rPr>
          <w:rFonts w:ascii="Calibri" w:hAnsi="Calibri"/>
          <w:color w:val="000000"/>
          <w:sz w:val="22"/>
          <w:szCs w:val="22"/>
        </w:rPr>
      </w:pPr>
      <w:r>
        <w:rPr>
          <w:rFonts w:ascii="Calibri" w:hAnsi="Calibri"/>
          <w:b/>
          <w:color w:val="000000"/>
          <w:sz w:val="22"/>
          <w:szCs w:val="22"/>
        </w:rPr>
        <w:t xml:space="preserve">Navy – </w:t>
      </w:r>
      <w:r w:rsidRPr="0038203E">
        <w:rPr>
          <w:rFonts w:ascii="Calibri" w:hAnsi="Calibri"/>
          <w:color w:val="000000"/>
          <w:sz w:val="22"/>
          <w:szCs w:val="22"/>
        </w:rPr>
        <w:t>Has its own table for useful lives that differs from FMR.</w:t>
      </w:r>
    </w:p>
    <w:p w:rsidR="00325490" w:rsidRPr="00325490" w:rsidRDefault="00325490" w:rsidP="00FE0980">
      <w:pPr>
        <w:pStyle w:val="NormalWeb"/>
        <w:numPr>
          <w:ilvl w:val="1"/>
          <w:numId w:val="14"/>
        </w:numPr>
        <w:spacing w:before="0" w:beforeAutospacing="0" w:after="0" w:afterAutospacing="0"/>
        <w:rPr>
          <w:rFonts w:ascii="Calibri" w:hAnsi="Calibri"/>
          <w:color w:val="000000"/>
          <w:sz w:val="22"/>
          <w:szCs w:val="22"/>
        </w:rPr>
      </w:pPr>
      <w:r w:rsidRPr="00325490">
        <w:rPr>
          <w:rFonts w:ascii="Calibri" w:hAnsi="Calibri"/>
          <w:color w:val="000000"/>
          <w:sz w:val="22"/>
          <w:szCs w:val="22"/>
        </w:rPr>
        <w:t xml:space="preserve">Zel suggests standardizing the lives. Justin suggests pulling the FMR table onto the website. </w:t>
      </w:r>
    </w:p>
    <w:p w:rsidR="000A1E00" w:rsidRPr="00C57C4A" w:rsidRDefault="000A1E00" w:rsidP="00D812A0">
      <w:pPr>
        <w:pStyle w:val="NormalWeb"/>
        <w:numPr>
          <w:ilvl w:val="0"/>
          <w:numId w:val="14"/>
        </w:numPr>
        <w:spacing w:before="0" w:beforeAutospacing="0" w:after="0" w:afterAutospacing="0"/>
        <w:rPr>
          <w:rFonts w:ascii="Calibri" w:hAnsi="Calibri"/>
          <w:b/>
          <w:color w:val="000000"/>
          <w:sz w:val="22"/>
          <w:szCs w:val="22"/>
        </w:rPr>
      </w:pPr>
      <w:r w:rsidRPr="000A1E00">
        <w:rPr>
          <w:rFonts w:ascii="Calibri" w:hAnsi="Calibri"/>
          <w:b/>
          <w:color w:val="000000"/>
          <w:sz w:val="22"/>
          <w:szCs w:val="22"/>
        </w:rPr>
        <w:t xml:space="preserve">Depreciation – Salvage Value: </w:t>
      </w:r>
      <w:r w:rsidR="00901654" w:rsidRPr="00901654">
        <w:rPr>
          <w:rFonts w:ascii="Calibri" w:hAnsi="Calibri"/>
          <w:color w:val="000000"/>
          <w:sz w:val="22"/>
          <w:szCs w:val="22"/>
        </w:rPr>
        <w:t>FMR requires subtracting salvage value when computing depreciation if salvage value is greater than or equal to 10% of the asset original cost.</w:t>
      </w:r>
      <w:r w:rsidR="00901654">
        <w:rPr>
          <w:rFonts w:ascii="Calibri" w:hAnsi="Calibri"/>
          <w:color w:val="000000"/>
          <w:sz w:val="22"/>
          <w:szCs w:val="22"/>
        </w:rPr>
        <w:t xml:space="preserve"> Only </w:t>
      </w:r>
      <w:r w:rsidR="005F4B70">
        <w:rPr>
          <w:rFonts w:ascii="Calibri" w:hAnsi="Calibri"/>
          <w:color w:val="000000"/>
          <w:sz w:val="22"/>
          <w:szCs w:val="22"/>
        </w:rPr>
        <w:t>the Marines</w:t>
      </w:r>
      <w:r w:rsidR="00901654">
        <w:rPr>
          <w:rFonts w:ascii="Calibri" w:hAnsi="Calibri"/>
          <w:color w:val="000000"/>
          <w:sz w:val="22"/>
          <w:szCs w:val="22"/>
        </w:rPr>
        <w:t xml:space="preserve"> adopts this language in manual.</w:t>
      </w:r>
    </w:p>
    <w:p w:rsidR="00C57C4A" w:rsidRDefault="00C57C4A" w:rsidP="00C57C4A">
      <w:pPr>
        <w:pStyle w:val="NormalWeb"/>
        <w:numPr>
          <w:ilvl w:val="1"/>
          <w:numId w:val="14"/>
        </w:numPr>
        <w:spacing w:before="0" w:beforeAutospacing="0" w:after="0" w:afterAutospacing="0"/>
        <w:rPr>
          <w:rFonts w:ascii="Calibri" w:hAnsi="Calibri"/>
          <w:color w:val="000000"/>
          <w:sz w:val="22"/>
          <w:szCs w:val="22"/>
        </w:rPr>
      </w:pPr>
      <w:r>
        <w:rPr>
          <w:rFonts w:ascii="Calibri" w:hAnsi="Calibri"/>
          <w:b/>
          <w:color w:val="000000"/>
          <w:sz w:val="22"/>
          <w:szCs w:val="22"/>
        </w:rPr>
        <w:t xml:space="preserve">AF </w:t>
      </w:r>
      <w:r w:rsidRPr="00C57C4A">
        <w:rPr>
          <w:rFonts w:ascii="Calibri" w:hAnsi="Calibri"/>
          <w:color w:val="000000"/>
          <w:sz w:val="22"/>
          <w:szCs w:val="22"/>
        </w:rPr>
        <w:t>– Never reaches the 10% threshold so this issue is immaterial to AF. In addition, AF transfers assets to DRMO to dispose of them so the AF never actually sells used assets.</w:t>
      </w:r>
    </w:p>
    <w:p w:rsidR="00C57C4A" w:rsidRDefault="00C57C4A" w:rsidP="00C57C4A">
      <w:pPr>
        <w:pStyle w:val="NormalWeb"/>
        <w:numPr>
          <w:ilvl w:val="1"/>
          <w:numId w:val="14"/>
        </w:numPr>
        <w:spacing w:before="0" w:beforeAutospacing="0" w:after="0" w:afterAutospacing="0"/>
        <w:rPr>
          <w:rFonts w:ascii="Calibri" w:hAnsi="Calibri"/>
          <w:color w:val="000000"/>
          <w:sz w:val="22"/>
          <w:szCs w:val="22"/>
        </w:rPr>
      </w:pPr>
      <w:r>
        <w:rPr>
          <w:rFonts w:ascii="Calibri" w:hAnsi="Calibri"/>
          <w:b/>
          <w:color w:val="000000"/>
          <w:sz w:val="22"/>
          <w:szCs w:val="22"/>
        </w:rPr>
        <w:t xml:space="preserve">Army </w:t>
      </w:r>
      <w:r>
        <w:rPr>
          <w:rFonts w:ascii="Calibri" w:hAnsi="Calibri"/>
          <w:color w:val="000000"/>
          <w:sz w:val="22"/>
          <w:szCs w:val="22"/>
        </w:rPr>
        <w:t xml:space="preserve">– </w:t>
      </w:r>
      <w:r w:rsidRPr="00C57C4A">
        <w:rPr>
          <w:rFonts w:ascii="Calibri" w:hAnsi="Calibri"/>
          <w:color w:val="000000"/>
          <w:sz w:val="22"/>
          <w:szCs w:val="22"/>
        </w:rPr>
        <w:t xml:space="preserve">Never reaches the 10% threshold so </w:t>
      </w:r>
      <w:r>
        <w:rPr>
          <w:rFonts w:ascii="Calibri" w:hAnsi="Calibri"/>
          <w:color w:val="000000"/>
          <w:sz w:val="22"/>
          <w:szCs w:val="22"/>
        </w:rPr>
        <w:t>this issue is immaterial to the Army. Believes it is more conservative to not use salvage value.</w:t>
      </w:r>
    </w:p>
    <w:p w:rsidR="00C57C4A" w:rsidRDefault="00C57C4A" w:rsidP="00C57C4A">
      <w:pPr>
        <w:pStyle w:val="NormalWeb"/>
        <w:numPr>
          <w:ilvl w:val="1"/>
          <w:numId w:val="14"/>
        </w:numPr>
        <w:spacing w:before="0" w:beforeAutospacing="0" w:after="0" w:afterAutospacing="0"/>
        <w:rPr>
          <w:rFonts w:ascii="Calibri" w:hAnsi="Calibri"/>
          <w:color w:val="000000"/>
          <w:sz w:val="22"/>
          <w:szCs w:val="22"/>
        </w:rPr>
      </w:pPr>
      <w:r>
        <w:rPr>
          <w:rFonts w:ascii="Calibri" w:hAnsi="Calibri"/>
          <w:b/>
          <w:color w:val="000000"/>
          <w:sz w:val="22"/>
          <w:szCs w:val="22"/>
        </w:rPr>
        <w:t xml:space="preserve">MC </w:t>
      </w:r>
      <w:r>
        <w:rPr>
          <w:rFonts w:ascii="Calibri" w:hAnsi="Calibri"/>
          <w:color w:val="000000"/>
          <w:sz w:val="22"/>
          <w:szCs w:val="22"/>
        </w:rPr>
        <w:t xml:space="preserve">– </w:t>
      </w:r>
      <w:r w:rsidRPr="00C57C4A">
        <w:rPr>
          <w:rFonts w:ascii="Calibri" w:hAnsi="Calibri"/>
          <w:b/>
          <w:color w:val="C00000"/>
          <w:sz w:val="22"/>
          <w:szCs w:val="22"/>
        </w:rPr>
        <w:t xml:space="preserve">Action Item: </w:t>
      </w:r>
      <w:r>
        <w:rPr>
          <w:rFonts w:ascii="Calibri" w:hAnsi="Calibri"/>
          <w:color w:val="000000"/>
          <w:sz w:val="22"/>
          <w:szCs w:val="22"/>
        </w:rPr>
        <w:t>Looking into the issue and will follow-up about whether MC reaches the 10% threshold.</w:t>
      </w:r>
      <w:r w:rsidR="005F4B70">
        <w:rPr>
          <w:rFonts w:ascii="Calibri" w:hAnsi="Calibri"/>
          <w:color w:val="000000"/>
          <w:sz w:val="22"/>
          <w:szCs w:val="22"/>
        </w:rPr>
        <w:t xml:space="preserve"> MC does adopt FMR language in its policy.</w:t>
      </w:r>
    </w:p>
    <w:p w:rsidR="00C57C4A" w:rsidRDefault="00CB140C" w:rsidP="00C57C4A">
      <w:pPr>
        <w:pStyle w:val="NormalWeb"/>
        <w:numPr>
          <w:ilvl w:val="1"/>
          <w:numId w:val="14"/>
        </w:numPr>
        <w:spacing w:before="0" w:beforeAutospacing="0" w:after="0" w:afterAutospacing="0"/>
        <w:rPr>
          <w:rFonts w:ascii="Calibri" w:hAnsi="Calibri"/>
          <w:color w:val="000000"/>
          <w:sz w:val="22"/>
          <w:szCs w:val="22"/>
        </w:rPr>
      </w:pPr>
      <w:r>
        <w:rPr>
          <w:rFonts w:ascii="Calibri" w:hAnsi="Calibri"/>
          <w:b/>
          <w:color w:val="000000"/>
          <w:sz w:val="22"/>
          <w:szCs w:val="22"/>
        </w:rPr>
        <w:t xml:space="preserve">Navy </w:t>
      </w:r>
      <w:r w:rsidRPr="00CB140C">
        <w:rPr>
          <w:rFonts w:ascii="Calibri" w:hAnsi="Calibri"/>
          <w:color w:val="000000"/>
          <w:sz w:val="22"/>
          <w:szCs w:val="22"/>
        </w:rPr>
        <w:t xml:space="preserve">– </w:t>
      </w:r>
      <w:r w:rsidRPr="00C57C4A">
        <w:rPr>
          <w:rFonts w:ascii="Calibri" w:hAnsi="Calibri"/>
          <w:color w:val="000000"/>
          <w:sz w:val="22"/>
          <w:szCs w:val="22"/>
        </w:rPr>
        <w:t xml:space="preserve">Never reaches the 10% threshold so </w:t>
      </w:r>
      <w:r>
        <w:rPr>
          <w:rFonts w:ascii="Calibri" w:hAnsi="Calibri"/>
          <w:color w:val="000000"/>
          <w:sz w:val="22"/>
          <w:szCs w:val="22"/>
        </w:rPr>
        <w:t>this issue is immaterial to the Navy.</w:t>
      </w:r>
    </w:p>
    <w:p w:rsidR="005F4B70" w:rsidRDefault="005F4B70" w:rsidP="00C57C4A">
      <w:pPr>
        <w:pStyle w:val="NormalWeb"/>
        <w:numPr>
          <w:ilvl w:val="1"/>
          <w:numId w:val="14"/>
        </w:numPr>
        <w:spacing w:before="0" w:beforeAutospacing="0" w:after="0" w:afterAutospacing="0"/>
        <w:rPr>
          <w:rFonts w:ascii="Calibri" w:hAnsi="Calibri"/>
          <w:color w:val="000000"/>
          <w:sz w:val="22"/>
          <w:szCs w:val="22"/>
        </w:rPr>
      </w:pPr>
      <w:r w:rsidRPr="005F4B70">
        <w:rPr>
          <w:rFonts w:ascii="Calibri" w:hAnsi="Calibri"/>
          <w:color w:val="000000"/>
          <w:sz w:val="22"/>
          <w:szCs w:val="22"/>
        </w:rPr>
        <w:t>Since Services do not reach the 10% threshold</w:t>
      </w:r>
      <w:r w:rsidR="00810228">
        <w:rPr>
          <w:rFonts w:ascii="Calibri" w:hAnsi="Calibri"/>
          <w:color w:val="000000"/>
          <w:sz w:val="22"/>
          <w:szCs w:val="22"/>
        </w:rPr>
        <w:t>,</w:t>
      </w:r>
      <w:r w:rsidRPr="005F4B70">
        <w:rPr>
          <w:rFonts w:ascii="Calibri" w:hAnsi="Calibri"/>
          <w:color w:val="000000"/>
          <w:sz w:val="22"/>
          <w:szCs w:val="22"/>
        </w:rPr>
        <w:t xml:space="preserve"> the FMR language can be changed or the Services can adopt the FMR language in policies. This would not create a change in accounting practice since Services do not reach 10% threshold.</w:t>
      </w:r>
    </w:p>
    <w:p w:rsidR="00DE6DCD" w:rsidRPr="00C15006" w:rsidRDefault="00DE6DCD" w:rsidP="00C15006">
      <w:pPr>
        <w:pStyle w:val="NormalWeb"/>
        <w:numPr>
          <w:ilvl w:val="0"/>
          <w:numId w:val="14"/>
        </w:numPr>
        <w:spacing w:before="0" w:beforeAutospacing="0" w:after="0" w:afterAutospacing="0"/>
        <w:rPr>
          <w:rFonts w:ascii="Calibri" w:hAnsi="Calibri"/>
          <w:color w:val="000000"/>
          <w:sz w:val="22"/>
          <w:szCs w:val="22"/>
        </w:rPr>
      </w:pPr>
      <w:r w:rsidRPr="00DD26AA">
        <w:rPr>
          <w:rFonts w:ascii="Calibri" w:hAnsi="Calibri"/>
          <w:b/>
          <w:color w:val="000000"/>
          <w:sz w:val="22"/>
          <w:szCs w:val="22"/>
        </w:rPr>
        <w:t>Treasury Credit Card Memo</w:t>
      </w:r>
      <w:r w:rsidRPr="00C15006">
        <w:rPr>
          <w:rFonts w:ascii="Calibri" w:hAnsi="Calibri"/>
          <w:color w:val="000000"/>
          <w:sz w:val="22"/>
          <w:szCs w:val="22"/>
        </w:rPr>
        <w:t xml:space="preserve">:  </w:t>
      </w:r>
      <w:r w:rsidR="00C15006" w:rsidRPr="00C15006">
        <w:rPr>
          <w:rFonts w:ascii="Calibri" w:hAnsi="Calibri"/>
          <w:color w:val="000000"/>
          <w:sz w:val="22"/>
          <w:szCs w:val="22"/>
        </w:rPr>
        <w:t xml:space="preserve">According to a Treasury Announcement from July 2014, the transaction dollar-value limit to collect revenue using credit cards has been lowered to $25K.  This is the maximum dollar amount allowed for a credit card collection.  The limit has been lowered from the previous payment transaction limit of $49,999.99.  Furthermore, government departments and agencies </w:t>
      </w:r>
      <w:proofErr w:type="gramStart"/>
      <w:r w:rsidR="00C15006" w:rsidRPr="00C15006">
        <w:rPr>
          <w:rFonts w:ascii="Calibri" w:hAnsi="Calibri"/>
          <w:color w:val="000000"/>
          <w:sz w:val="22"/>
          <w:szCs w:val="22"/>
        </w:rPr>
        <w:t>are  prohibited</w:t>
      </w:r>
      <w:proofErr w:type="gramEnd"/>
      <w:r w:rsidR="00C15006" w:rsidRPr="00C15006">
        <w:rPr>
          <w:rFonts w:ascii="Calibri" w:hAnsi="Calibri"/>
          <w:color w:val="000000"/>
          <w:sz w:val="22"/>
          <w:szCs w:val="22"/>
        </w:rPr>
        <w:t xml:space="preserve"> from splitting the total amount due into multiple payments.</w:t>
      </w:r>
      <w:r w:rsidRPr="00C15006">
        <w:rPr>
          <w:rFonts w:ascii="Calibri" w:hAnsi="Calibri"/>
          <w:color w:val="000000"/>
          <w:sz w:val="22"/>
          <w:szCs w:val="22"/>
        </w:rPr>
        <w:t xml:space="preserve">. Memo </w:t>
      </w:r>
      <w:r w:rsidR="00C15006">
        <w:rPr>
          <w:rFonts w:ascii="Calibri" w:hAnsi="Calibri"/>
          <w:color w:val="000000"/>
          <w:sz w:val="22"/>
          <w:szCs w:val="22"/>
        </w:rPr>
        <w:t xml:space="preserve">is not clear, but </w:t>
      </w:r>
      <w:r w:rsidRPr="00C15006">
        <w:rPr>
          <w:rFonts w:ascii="Calibri" w:hAnsi="Calibri"/>
          <w:color w:val="000000"/>
          <w:sz w:val="22"/>
          <w:szCs w:val="22"/>
        </w:rPr>
        <w:t xml:space="preserve">may include </w:t>
      </w:r>
      <w:proofErr w:type="spellStart"/>
      <w:r w:rsidRPr="00C15006">
        <w:rPr>
          <w:rFonts w:ascii="Calibri" w:hAnsi="Calibri"/>
          <w:color w:val="000000"/>
          <w:sz w:val="22"/>
          <w:szCs w:val="22"/>
        </w:rPr>
        <w:t>NAFI’s</w:t>
      </w:r>
      <w:proofErr w:type="spellEnd"/>
      <w:r w:rsidRPr="00C15006">
        <w:rPr>
          <w:rFonts w:ascii="Calibri" w:hAnsi="Calibri"/>
          <w:color w:val="000000"/>
          <w:sz w:val="22"/>
          <w:szCs w:val="22"/>
        </w:rPr>
        <w:t>.</w:t>
      </w:r>
    </w:p>
    <w:p w:rsidR="00DE6DCD" w:rsidRDefault="00DE6DCD" w:rsidP="00DE6DCD">
      <w:pPr>
        <w:pStyle w:val="NormalWeb"/>
        <w:numPr>
          <w:ilvl w:val="1"/>
          <w:numId w:val="14"/>
        </w:numPr>
        <w:spacing w:before="0" w:beforeAutospacing="0" w:after="0" w:afterAutospacing="0"/>
        <w:rPr>
          <w:rFonts w:ascii="Calibri" w:hAnsi="Calibri"/>
          <w:color w:val="000000"/>
          <w:sz w:val="22"/>
          <w:szCs w:val="22"/>
        </w:rPr>
      </w:pPr>
      <w:r w:rsidRPr="00DE6DCD">
        <w:rPr>
          <w:rFonts w:ascii="Calibri" w:hAnsi="Calibri"/>
          <w:b/>
          <w:color w:val="C00000"/>
          <w:sz w:val="22"/>
          <w:szCs w:val="22"/>
        </w:rPr>
        <w:t>Action Item:</w:t>
      </w:r>
      <w:r w:rsidRPr="00DE6DCD">
        <w:rPr>
          <w:rFonts w:ascii="Calibri" w:hAnsi="Calibri"/>
          <w:color w:val="C00000"/>
          <w:sz w:val="22"/>
          <w:szCs w:val="22"/>
        </w:rPr>
        <w:t xml:space="preserve"> </w:t>
      </w:r>
      <w:r>
        <w:rPr>
          <w:rFonts w:ascii="Calibri" w:hAnsi="Calibri"/>
          <w:color w:val="000000"/>
          <w:sz w:val="22"/>
          <w:szCs w:val="22"/>
        </w:rPr>
        <w:t xml:space="preserve">Services to see if they have credit card transactions that exceed $25k. </w:t>
      </w:r>
    </w:p>
    <w:p w:rsidR="00DE6DCD" w:rsidRPr="005F4B70" w:rsidRDefault="00DE6DCD" w:rsidP="00DE6DCD">
      <w:pPr>
        <w:pStyle w:val="NormalWeb"/>
        <w:numPr>
          <w:ilvl w:val="1"/>
          <w:numId w:val="14"/>
        </w:numPr>
        <w:spacing w:before="0" w:beforeAutospacing="0" w:after="0" w:afterAutospacing="0"/>
        <w:rPr>
          <w:rFonts w:ascii="Calibri" w:hAnsi="Calibri"/>
          <w:color w:val="000000"/>
          <w:sz w:val="22"/>
          <w:szCs w:val="22"/>
        </w:rPr>
      </w:pPr>
      <w:r>
        <w:rPr>
          <w:rFonts w:ascii="Calibri" w:hAnsi="Calibri"/>
          <w:color w:val="000000"/>
          <w:sz w:val="22"/>
          <w:szCs w:val="22"/>
        </w:rPr>
        <w:t>Justin will work with NAF legal counsel to have issue resolved if need be.</w:t>
      </w:r>
    </w:p>
    <w:p w:rsidR="00D812A0" w:rsidRDefault="00D812A0" w:rsidP="00D812A0">
      <w:pPr>
        <w:pStyle w:val="NormalWeb"/>
        <w:spacing w:before="0" w:beforeAutospacing="0" w:after="0" w:afterAutospacing="0"/>
        <w:rPr>
          <w:rFonts w:ascii="Calibri" w:hAnsi="Calibri"/>
          <w:color w:val="000000"/>
          <w:sz w:val="22"/>
          <w:szCs w:val="22"/>
        </w:rPr>
      </w:pPr>
    </w:p>
    <w:p w:rsidR="00D812A0" w:rsidRDefault="00D812A0" w:rsidP="00D812A0">
      <w:pPr>
        <w:pStyle w:val="NormalWeb"/>
        <w:spacing w:before="0" w:beforeAutospacing="0" w:after="0" w:afterAutospacing="0"/>
        <w:rPr>
          <w:rFonts w:ascii="Calibri" w:hAnsi="Calibri"/>
          <w:b/>
          <w:bCs/>
          <w:color w:val="000000"/>
          <w:sz w:val="22"/>
          <w:szCs w:val="22"/>
          <w:u w:val="single"/>
        </w:rPr>
      </w:pPr>
      <w:r w:rsidRPr="00D812A0">
        <w:rPr>
          <w:rFonts w:ascii="Calibri" w:hAnsi="Calibri"/>
          <w:b/>
          <w:bCs/>
          <w:color w:val="000000"/>
          <w:sz w:val="22"/>
          <w:szCs w:val="22"/>
          <w:u w:val="single"/>
        </w:rPr>
        <w:t>NAF Reporting Process and Data Repository Strategy and Next Steps – Ms. Tina Cooper, GT</w:t>
      </w:r>
    </w:p>
    <w:p w:rsidR="00D812A0" w:rsidRDefault="00F976C0" w:rsidP="00D812A0">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Will start streamlining data reporting in February. Goal is to make data reporting easier and to ensure OSD gets accurate information when requested from the Services.</w:t>
      </w:r>
    </w:p>
    <w:p w:rsidR="0009232B" w:rsidRDefault="0009232B" w:rsidP="00D812A0">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The first stage of the process is to understand the “as-is” reporting and data warehousing. Site visits will help with this.</w:t>
      </w:r>
    </w:p>
    <w:p w:rsidR="0009232B" w:rsidRDefault="0009232B" w:rsidP="00D812A0">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Initial implementation of data repository may be a SharePoint site on OSD servers.</w:t>
      </w:r>
    </w:p>
    <w:p w:rsidR="0009232B" w:rsidRDefault="0009232B" w:rsidP="00D812A0">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Services generally don’t have periodic reports to file other than the 1015.15 report. They do have a lot of ad hoc data requests where data from multiple areas needs to be combined to meet the request.</w:t>
      </w:r>
    </w:p>
    <w:p w:rsidR="0009232B" w:rsidRDefault="0009232B" w:rsidP="00D812A0">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The Marines and the Army currently use COGNOS and the Air Force is building a repository. </w:t>
      </w:r>
    </w:p>
    <w:p w:rsidR="0009232B" w:rsidRDefault="006B7D15" w:rsidP="00D812A0">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Data repository capability requests include ability to compare historical records and see trends over time, data tags to assist in ad hoc requests, </w:t>
      </w:r>
      <w:r w:rsidR="00810228">
        <w:rPr>
          <w:rFonts w:ascii="Calibri" w:hAnsi="Calibri"/>
          <w:color w:val="000000"/>
          <w:sz w:val="22"/>
          <w:szCs w:val="22"/>
        </w:rPr>
        <w:t xml:space="preserve">and </w:t>
      </w:r>
      <w:r>
        <w:rPr>
          <w:rFonts w:ascii="Calibri" w:hAnsi="Calibri"/>
          <w:color w:val="000000"/>
          <w:sz w:val="22"/>
          <w:szCs w:val="22"/>
        </w:rPr>
        <w:t>ability to combine data from multiple reports without having to do so manually.</w:t>
      </w:r>
    </w:p>
    <w:p w:rsidR="0009232B" w:rsidRDefault="0009232B" w:rsidP="00D812A0">
      <w:pPr>
        <w:pStyle w:val="NormalWeb"/>
        <w:numPr>
          <w:ilvl w:val="0"/>
          <w:numId w:val="14"/>
        </w:numPr>
        <w:spacing w:before="0" w:beforeAutospacing="0" w:after="0" w:afterAutospacing="0"/>
        <w:rPr>
          <w:rFonts w:ascii="Calibri" w:hAnsi="Calibri"/>
          <w:color w:val="000000"/>
          <w:sz w:val="22"/>
          <w:szCs w:val="22"/>
        </w:rPr>
      </w:pPr>
      <w:r w:rsidRPr="0009232B">
        <w:rPr>
          <w:rFonts w:ascii="Calibri" w:hAnsi="Calibri"/>
          <w:b/>
          <w:color w:val="C00000"/>
          <w:sz w:val="22"/>
          <w:szCs w:val="22"/>
        </w:rPr>
        <w:t>Action Item:</w:t>
      </w:r>
      <w:r w:rsidRPr="0009232B">
        <w:rPr>
          <w:rFonts w:ascii="Calibri" w:hAnsi="Calibri"/>
          <w:color w:val="C00000"/>
          <w:sz w:val="22"/>
          <w:szCs w:val="22"/>
        </w:rPr>
        <w:t xml:space="preserve"> </w:t>
      </w:r>
      <w:r>
        <w:rPr>
          <w:rFonts w:ascii="Calibri" w:hAnsi="Calibri"/>
          <w:color w:val="000000"/>
          <w:sz w:val="22"/>
          <w:szCs w:val="22"/>
        </w:rPr>
        <w:t>Marines to provide relevant financial statements to GT for data repository effort.</w:t>
      </w:r>
    </w:p>
    <w:p w:rsidR="00D812A0" w:rsidRDefault="00D812A0" w:rsidP="00D812A0">
      <w:pPr>
        <w:pStyle w:val="NormalWeb"/>
        <w:spacing w:before="0" w:beforeAutospacing="0" w:after="0" w:afterAutospacing="0"/>
        <w:rPr>
          <w:rFonts w:ascii="Calibri" w:hAnsi="Calibri"/>
          <w:color w:val="000000"/>
          <w:sz w:val="22"/>
          <w:szCs w:val="22"/>
        </w:rPr>
      </w:pPr>
    </w:p>
    <w:p w:rsidR="00D812A0" w:rsidRDefault="00475BAD" w:rsidP="00D812A0">
      <w:pPr>
        <w:pStyle w:val="NormalWeb"/>
        <w:spacing w:before="0" w:beforeAutospacing="0" w:after="0" w:afterAutospacing="0"/>
        <w:rPr>
          <w:rFonts w:ascii="Calibri" w:hAnsi="Calibri"/>
          <w:b/>
          <w:bCs/>
          <w:color w:val="000000"/>
          <w:sz w:val="22"/>
          <w:szCs w:val="22"/>
          <w:u w:val="single"/>
        </w:rPr>
      </w:pPr>
      <w:r w:rsidRPr="00475BAD">
        <w:rPr>
          <w:rFonts w:ascii="Calibri" w:hAnsi="Calibri"/>
          <w:b/>
          <w:bCs/>
          <w:color w:val="000000"/>
          <w:sz w:val="22"/>
          <w:szCs w:val="22"/>
          <w:u w:val="single"/>
        </w:rPr>
        <w:t xml:space="preserve">Implementation Framework and Key </w:t>
      </w:r>
      <w:r w:rsidR="0065041C" w:rsidRPr="00475BAD">
        <w:rPr>
          <w:rFonts w:ascii="Calibri" w:hAnsi="Calibri"/>
          <w:b/>
          <w:bCs/>
          <w:color w:val="000000"/>
          <w:sz w:val="22"/>
          <w:szCs w:val="22"/>
          <w:u w:val="single"/>
        </w:rPr>
        <w:t>Messaging –</w:t>
      </w:r>
      <w:r w:rsidRPr="00475BAD">
        <w:rPr>
          <w:rFonts w:ascii="Calibri" w:hAnsi="Calibri"/>
          <w:b/>
          <w:bCs/>
          <w:color w:val="000000"/>
          <w:sz w:val="22"/>
          <w:szCs w:val="22"/>
          <w:u w:val="single"/>
        </w:rPr>
        <w:t xml:space="preserve"> Ms. Tracy McLoughlin, GT</w:t>
      </w:r>
    </w:p>
    <w:p w:rsidR="00D812A0" w:rsidRDefault="00CF6163" w:rsidP="00D812A0">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During site visits, will aim to refine key messaging and identify WIFM’s for each Service</w:t>
      </w:r>
      <w:r w:rsidR="002B325C">
        <w:rPr>
          <w:rFonts w:ascii="Calibri" w:hAnsi="Calibri"/>
          <w:color w:val="000000"/>
          <w:sz w:val="22"/>
          <w:szCs w:val="22"/>
        </w:rPr>
        <w:t>.</w:t>
      </w:r>
    </w:p>
    <w:p w:rsidR="004034FF" w:rsidRDefault="00676054" w:rsidP="00D812A0">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lastRenderedPageBreak/>
        <w:t xml:space="preserve">Next step is to start awareness campaign. This will include sending out the </w:t>
      </w:r>
      <w:r w:rsidR="004034FF">
        <w:rPr>
          <w:rFonts w:ascii="Calibri" w:hAnsi="Calibri"/>
          <w:color w:val="000000"/>
          <w:sz w:val="22"/>
          <w:szCs w:val="22"/>
        </w:rPr>
        <w:t>account code package, making people aware of the package, writing good news stories, creating a tool kit, and identifying leaders who can champion the message.</w:t>
      </w:r>
    </w:p>
    <w:p w:rsidR="00CF6163" w:rsidRDefault="004034FF" w:rsidP="00D812A0">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Discussed key messages. Will tweak the messages to incorporate Service inputs.</w:t>
      </w:r>
      <w:r w:rsidR="00676054">
        <w:rPr>
          <w:rFonts w:ascii="Calibri" w:hAnsi="Calibri"/>
          <w:color w:val="000000"/>
          <w:sz w:val="22"/>
          <w:szCs w:val="22"/>
        </w:rPr>
        <w:t xml:space="preserve"> </w:t>
      </w:r>
    </w:p>
    <w:p w:rsidR="00D812A0" w:rsidRDefault="00D812A0" w:rsidP="00D812A0">
      <w:pPr>
        <w:pStyle w:val="NormalWeb"/>
        <w:spacing w:before="0" w:beforeAutospacing="0" w:after="0" w:afterAutospacing="0"/>
        <w:rPr>
          <w:rFonts w:ascii="Calibri" w:hAnsi="Calibri"/>
          <w:color w:val="000000"/>
          <w:sz w:val="22"/>
          <w:szCs w:val="22"/>
        </w:rPr>
      </w:pPr>
    </w:p>
    <w:p w:rsidR="00475BAD" w:rsidRDefault="00475BAD" w:rsidP="00475BAD">
      <w:pPr>
        <w:pStyle w:val="NormalWeb"/>
        <w:spacing w:before="0" w:beforeAutospacing="0" w:after="0" w:afterAutospacing="0"/>
        <w:rPr>
          <w:rFonts w:ascii="Calibri" w:hAnsi="Calibri"/>
          <w:b/>
          <w:bCs/>
          <w:color w:val="000000"/>
          <w:sz w:val="22"/>
          <w:szCs w:val="22"/>
          <w:u w:val="single"/>
        </w:rPr>
      </w:pPr>
      <w:r w:rsidRPr="00475BAD">
        <w:rPr>
          <w:rFonts w:ascii="Calibri" w:hAnsi="Calibri"/>
          <w:b/>
          <w:bCs/>
          <w:color w:val="000000"/>
          <w:sz w:val="22"/>
          <w:szCs w:val="22"/>
          <w:u w:val="single"/>
        </w:rPr>
        <w:t>Wrap-up – Mr. Justin Hall</w:t>
      </w:r>
      <w:r>
        <w:rPr>
          <w:rFonts w:ascii="Calibri" w:hAnsi="Calibri"/>
          <w:b/>
          <w:bCs/>
          <w:color w:val="000000"/>
          <w:sz w:val="22"/>
          <w:szCs w:val="22"/>
          <w:u w:val="single"/>
        </w:rPr>
        <w:t xml:space="preserve">, </w:t>
      </w:r>
      <w:r w:rsidRPr="00475BAD">
        <w:rPr>
          <w:rFonts w:ascii="Calibri" w:hAnsi="Calibri"/>
          <w:b/>
          <w:bCs/>
          <w:color w:val="000000"/>
          <w:sz w:val="22"/>
          <w:szCs w:val="22"/>
          <w:u w:val="single"/>
        </w:rPr>
        <w:t>MWR &amp; Resale Policy</w:t>
      </w:r>
    </w:p>
    <w:p w:rsidR="00CC39EC" w:rsidRPr="00DB3C67" w:rsidRDefault="0036390F" w:rsidP="00DB3C67">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Next meeting is tentatively scheduled for </w:t>
      </w:r>
      <w:r w:rsidR="009C1BF7">
        <w:rPr>
          <w:rFonts w:ascii="Calibri" w:hAnsi="Calibri"/>
          <w:color w:val="000000"/>
          <w:sz w:val="22"/>
          <w:szCs w:val="22"/>
        </w:rPr>
        <w:t xml:space="preserve">March </w:t>
      </w:r>
      <w:r>
        <w:rPr>
          <w:rFonts w:ascii="Calibri" w:hAnsi="Calibri"/>
          <w:color w:val="000000"/>
          <w:sz w:val="22"/>
          <w:szCs w:val="22"/>
        </w:rPr>
        <w:t>26</w:t>
      </w:r>
      <w:r w:rsidRPr="0036390F">
        <w:rPr>
          <w:rFonts w:ascii="Calibri" w:hAnsi="Calibri"/>
          <w:color w:val="000000"/>
          <w:sz w:val="22"/>
          <w:szCs w:val="22"/>
          <w:vertAlign w:val="superscript"/>
        </w:rPr>
        <w:t>th</w:t>
      </w:r>
      <w:r>
        <w:rPr>
          <w:rFonts w:ascii="Calibri" w:hAnsi="Calibri"/>
          <w:color w:val="000000"/>
          <w:sz w:val="22"/>
          <w:szCs w:val="22"/>
        </w:rPr>
        <w:t xml:space="preserve">. </w:t>
      </w:r>
    </w:p>
    <w:sectPr w:rsidR="00CC39EC" w:rsidRPr="00DB3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320"/>
    <w:multiLevelType w:val="hybridMultilevel"/>
    <w:tmpl w:val="55C85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53077"/>
    <w:multiLevelType w:val="hybridMultilevel"/>
    <w:tmpl w:val="E5E04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B6021"/>
    <w:multiLevelType w:val="multilevel"/>
    <w:tmpl w:val="454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6B3F55"/>
    <w:multiLevelType w:val="hybridMultilevel"/>
    <w:tmpl w:val="CB202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C5391"/>
    <w:multiLevelType w:val="multilevel"/>
    <w:tmpl w:val="4C0A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644061"/>
    <w:multiLevelType w:val="multilevel"/>
    <w:tmpl w:val="FEB6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CC745F"/>
    <w:multiLevelType w:val="hybridMultilevel"/>
    <w:tmpl w:val="9EC8F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D1A4E"/>
    <w:multiLevelType w:val="multilevel"/>
    <w:tmpl w:val="A8262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F17DB0"/>
    <w:multiLevelType w:val="hybridMultilevel"/>
    <w:tmpl w:val="15CA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6057FA"/>
    <w:multiLevelType w:val="multilevel"/>
    <w:tmpl w:val="A4D2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7E271C"/>
    <w:multiLevelType w:val="hybridMultilevel"/>
    <w:tmpl w:val="3D02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F645A1"/>
    <w:multiLevelType w:val="hybridMultilevel"/>
    <w:tmpl w:val="E49E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2E7166"/>
    <w:multiLevelType w:val="hybridMultilevel"/>
    <w:tmpl w:val="573E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1244F6"/>
    <w:multiLevelType w:val="multilevel"/>
    <w:tmpl w:val="848E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104F21"/>
    <w:multiLevelType w:val="multilevel"/>
    <w:tmpl w:val="CE0656F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5">
    <w:nsid w:val="73C6520A"/>
    <w:multiLevelType w:val="multilevel"/>
    <w:tmpl w:val="3412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391456"/>
    <w:multiLevelType w:val="multilevel"/>
    <w:tmpl w:val="D2B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9"/>
  </w:num>
  <w:num w:numId="5">
    <w:abstractNumId w:val="7"/>
  </w:num>
  <w:num w:numId="6">
    <w:abstractNumId w:val="16"/>
  </w:num>
  <w:num w:numId="7">
    <w:abstractNumId w:val="15"/>
  </w:num>
  <w:num w:numId="8">
    <w:abstractNumId w:val="1"/>
  </w:num>
  <w:num w:numId="9">
    <w:abstractNumId w:val="0"/>
  </w:num>
  <w:num w:numId="10">
    <w:abstractNumId w:val="3"/>
  </w:num>
  <w:num w:numId="11">
    <w:abstractNumId w:val="11"/>
  </w:num>
  <w:num w:numId="12">
    <w:abstractNumId w:val="14"/>
  </w:num>
  <w:num w:numId="13">
    <w:abstractNumId w:val="13"/>
  </w:num>
  <w:num w:numId="14">
    <w:abstractNumId w:val="6"/>
  </w:num>
  <w:num w:numId="15">
    <w:abstractNumId w:val="10"/>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D3"/>
    <w:rsid w:val="000117B5"/>
    <w:rsid w:val="0002590E"/>
    <w:rsid w:val="0003217E"/>
    <w:rsid w:val="000358FE"/>
    <w:rsid w:val="00055173"/>
    <w:rsid w:val="00061C0C"/>
    <w:rsid w:val="0009232B"/>
    <w:rsid w:val="000A04A4"/>
    <w:rsid w:val="000A1E00"/>
    <w:rsid w:val="000D51E3"/>
    <w:rsid w:val="000E0621"/>
    <w:rsid w:val="00104DD3"/>
    <w:rsid w:val="0010699C"/>
    <w:rsid w:val="00142B90"/>
    <w:rsid w:val="001510D0"/>
    <w:rsid w:val="001802F6"/>
    <w:rsid w:val="001838D6"/>
    <w:rsid w:val="00185E14"/>
    <w:rsid w:val="00187B7D"/>
    <w:rsid w:val="001D1B74"/>
    <w:rsid w:val="0020177C"/>
    <w:rsid w:val="00227793"/>
    <w:rsid w:val="00235485"/>
    <w:rsid w:val="002357F2"/>
    <w:rsid w:val="00257089"/>
    <w:rsid w:val="00261648"/>
    <w:rsid w:val="00262105"/>
    <w:rsid w:val="0027117A"/>
    <w:rsid w:val="00297467"/>
    <w:rsid w:val="002A2013"/>
    <w:rsid w:val="002A5BB2"/>
    <w:rsid w:val="002B2133"/>
    <w:rsid w:val="002B325C"/>
    <w:rsid w:val="002C05F9"/>
    <w:rsid w:val="002C3D5E"/>
    <w:rsid w:val="002E06CD"/>
    <w:rsid w:val="002E621E"/>
    <w:rsid w:val="002E6C4A"/>
    <w:rsid w:val="0031469D"/>
    <w:rsid w:val="00325490"/>
    <w:rsid w:val="00341324"/>
    <w:rsid w:val="00362ECA"/>
    <w:rsid w:val="0036390F"/>
    <w:rsid w:val="00366674"/>
    <w:rsid w:val="00377135"/>
    <w:rsid w:val="003771D6"/>
    <w:rsid w:val="00381020"/>
    <w:rsid w:val="0038203E"/>
    <w:rsid w:val="003946CD"/>
    <w:rsid w:val="003A1407"/>
    <w:rsid w:val="003A3B3E"/>
    <w:rsid w:val="003C60A6"/>
    <w:rsid w:val="003D6C08"/>
    <w:rsid w:val="00400E8B"/>
    <w:rsid w:val="004034FF"/>
    <w:rsid w:val="00412DA2"/>
    <w:rsid w:val="004271EC"/>
    <w:rsid w:val="0045005D"/>
    <w:rsid w:val="00461006"/>
    <w:rsid w:val="00474FD7"/>
    <w:rsid w:val="00475BAD"/>
    <w:rsid w:val="00484543"/>
    <w:rsid w:val="004A7091"/>
    <w:rsid w:val="004B1B9D"/>
    <w:rsid w:val="004C193C"/>
    <w:rsid w:val="004D38FE"/>
    <w:rsid w:val="004F1365"/>
    <w:rsid w:val="004F2D23"/>
    <w:rsid w:val="004F362C"/>
    <w:rsid w:val="004F546E"/>
    <w:rsid w:val="004F7F1D"/>
    <w:rsid w:val="00513E95"/>
    <w:rsid w:val="00536473"/>
    <w:rsid w:val="0054021C"/>
    <w:rsid w:val="00555872"/>
    <w:rsid w:val="00571DC7"/>
    <w:rsid w:val="005824CC"/>
    <w:rsid w:val="005A5559"/>
    <w:rsid w:val="005A56BC"/>
    <w:rsid w:val="005B0D70"/>
    <w:rsid w:val="005B6C0F"/>
    <w:rsid w:val="005F1ECD"/>
    <w:rsid w:val="005F4B70"/>
    <w:rsid w:val="005F50F5"/>
    <w:rsid w:val="00611762"/>
    <w:rsid w:val="006232D8"/>
    <w:rsid w:val="00650037"/>
    <w:rsid w:val="0065041C"/>
    <w:rsid w:val="0065143D"/>
    <w:rsid w:val="00653FA1"/>
    <w:rsid w:val="00655C34"/>
    <w:rsid w:val="00675108"/>
    <w:rsid w:val="00676054"/>
    <w:rsid w:val="00692531"/>
    <w:rsid w:val="006944BD"/>
    <w:rsid w:val="006B4D3B"/>
    <w:rsid w:val="006B7D15"/>
    <w:rsid w:val="006C397B"/>
    <w:rsid w:val="007036FA"/>
    <w:rsid w:val="00733228"/>
    <w:rsid w:val="00736A64"/>
    <w:rsid w:val="00743664"/>
    <w:rsid w:val="00756CAB"/>
    <w:rsid w:val="00757543"/>
    <w:rsid w:val="00767B55"/>
    <w:rsid w:val="00773075"/>
    <w:rsid w:val="00787BA1"/>
    <w:rsid w:val="007A79BB"/>
    <w:rsid w:val="007C714B"/>
    <w:rsid w:val="007E1D4B"/>
    <w:rsid w:val="007E3ADA"/>
    <w:rsid w:val="007E49F5"/>
    <w:rsid w:val="00802768"/>
    <w:rsid w:val="0080763A"/>
    <w:rsid w:val="00810228"/>
    <w:rsid w:val="008130A9"/>
    <w:rsid w:val="00837A71"/>
    <w:rsid w:val="00837AF1"/>
    <w:rsid w:val="00861633"/>
    <w:rsid w:val="00883887"/>
    <w:rsid w:val="008F2CB8"/>
    <w:rsid w:val="008F4AA2"/>
    <w:rsid w:val="0090020A"/>
    <w:rsid w:val="00901654"/>
    <w:rsid w:val="00935384"/>
    <w:rsid w:val="0097673B"/>
    <w:rsid w:val="00981A32"/>
    <w:rsid w:val="00985A51"/>
    <w:rsid w:val="009C1BF7"/>
    <w:rsid w:val="009D1D40"/>
    <w:rsid w:val="009F2771"/>
    <w:rsid w:val="00A7119C"/>
    <w:rsid w:val="00A77735"/>
    <w:rsid w:val="00A837BD"/>
    <w:rsid w:val="00A83C8A"/>
    <w:rsid w:val="00A85AA3"/>
    <w:rsid w:val="00A9094F"/>
    <w:rsid w:val="00A9137B"/>
    <w:rsid w:val="00AA3B94"/>
    <w:rsid w:val="00AA422A"/>
    <w:rsid w:val="00AE6826"/>
    <w:rsid w:val="00AF30A5"/>
    <w:rsid w:val="00B00A29"/>
    <w:rsid w:val="00B41528"/>
    <w:rsid w:val="00B55BB6"/>
    <w:rsid w:val="00B854A8"/>
    <w:rsid w:val="00BC68BE"/>
    <w:rsid w:val="00BD3884"/>
    <w:rsid w:val="00C15006"/>
    <w:rsid w:val="00C57C4A"/>
    <w:rsid w:val="00C6105D"/>
    <w:rsid w:val="00C6453F"/>
    <w:rsid w:val="00C72942"/>
    <w:rsid w:val="00C86FE6"/>
    <w:rsid w:val="00C96C0D"/>
    <w:rsid w:val="00CA776E"/>
    <w:rsid w:val="00CB140C"/>
    <w:rsid w:val="00CC39EC"/>
    <w:rsid w:val="00CF6163"/>
    <w:rsid w:val="00D06252"/>
    <w:rsid w:val="00D24788"/>
    <w:rsid w:val="00D26C98"/>
    <w:rsid w:val="00D300D6"/>
    <w:rsid w:val="00D319D0"/>
    <w:rsid w:val="00D61417"/>
    <w:rsid w:val="00D637A5"/>
    <w:rsid w:val="00D812A0"/>
    <w:rsid w:val="00DA3B26"/>
    <w:rsid w:val="00DB3C67"/>
    <w:rsid w:val="00DC1414"/>
    <w:rsid w:val="00DC2885"/>
    <w:rsid w:val="00DD0EDF"/>
    <w:rsid w:val="00DD26AA"/>
    <w:rsid w:val="00DD5E7E"/>
    <w:rsid w:val="00DE6DCD"/>
    <w:rsid w:val="00DF7489"/>
    <w:rsid w:val="00E232F5"/>
    <w:rsid w:val="00E41B50"/>
    <w:rsid w:val="00E51AA6"/>
    <w:rsid w:val="00E5275F"/>
    <w:rsid w:val="00E54EC4"/>
    <w:rsid w:val="00E74008"/>
    <w:rsid w:val="00E8378A"/>
    <w:rsid w:val="00E90F68"/>
    <w:rsid w:val="00E95C8E"/>
    <w:rsid w:val="00EA37A6"/>
    <w:rsid w:val="00EB15CE"/>
    <w:rsid w:val="00EB1F50"/>
    <w:rsid w:val="00EC1D9E"/>
    <w:rsid w:val="00EC1E0E"/>
    <w:rsid w:val="00F2366E"/>
    <w:rsid w:val="00F35EB9"/>
    <w:rsid w:val="00F616DD"/>
    <w:rsid w:val="00F81FEC"/>
    <w:rsid w:val="00F86959"/>
    <w:rsid w:val="00F976C0"/>
    <w:rsid w:val="00FA2623"/>
    <w:rsid w:val="00FB0A67"/>
    <w:rsid w:val="00FB5285"/>
    <w:rsid w:val="00FE0980"/>
    <w:rsid w:val="00FF1451"/>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CA776E"/>
    <w:pPr>
      <w:ind w:left="720"/>
      <w:contextualSpacing/>
    </w:pPr>
    <w:rPr>
      <w:rFonts w:ascii="Garamond" w:eastAsia="Times New Roman" w:hAnsi="Garamond" w:cs="Arial"/>
      <w:sz w:val="22"/>
      <w:szCs w:val="20"/>
    </w:rPr>
  </w:style>
  <w:style w:type="paragraph" w:styleId="BodyText">
    <w:name w:val="Body Text"/>
    <w:basedOn w:val="Normal"/>
    <w:link w:val="BodyTextChar"/>
    <w:qFormat/>
    <w:rsid w:val="005F1ECD"/>
    <w:pPr>
      <w:spacing w:after="284" w:line="280" w:lineRule="atLeast"/>
    </w:pPr>
    <w:rPr>
      <w:rFonts w:ascii="Garamond" w:eastAsia="Times New Roman" w:hAnsi="Garamond" w:cs="Arial"/>
      <w:sz w:val="22"/>
      <w:szCs w:val="20"/>
      <w:lang w:val="en-GB"/>
    </w:rPr>
  </w:style>
  <w:style w:type="character" w:customStyle="1" w:styleId="BodyTextChar">
    <w:name w:val="Body Text Char"/>
    <w:basedOn w:val="DefaultParagraphFont"/>
    <w:link w:val="BodyText"/>
    <w:rsid w:val="005F1ECD"/>
    <w:rPr>
      <w:rFonts w:ascii="Garamond" w:hAnsi="Garamond" w:cs="Arial"/>
      <w:sz w:val="22"/>
      <w:lang w:val="en-GB"/>
    </w:rPr>
  </w:style>
  <w:style w:type="table" w:customStyle="1" w:styleId="GTITableStyle3">
    <w:name w:val="GTI Table Style 3"/>
    <w:basedOn w:val="TableNormal"/>
    <w:uiPriority w:val="99"/>
    <w:rsid w:val="005F1ECD"/>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customStyle="1" w:styleId="GridTable5DarkAccent1">
    <w:name w:val="Grid Table 5 Dark Accent 1"/>
    <w:basedOn w:val="TableNormal"/>
    <w:uiPriority w:val="50"/>
    <w:rsid w:val="005A55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PlainTable2">
    <w:name w:val="Plain Table 2"/>
    <w:basedOn w:val="TableNormal"/>
    <w:uiPriority w:val="42"/>
    <w:rsid w:val="005A55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55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73"/>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CA776E"/>
    <w:pPr>
      <w:ind w:left="720"/>
      <w:contextualSpacing/>
    </w:pPr>
    <w:rPr>
      <w:rFonts w:ascii="Garamond" w:eastAsia="Times New Roman" w:hAnsi="Garamond" w:cs="Arial"/>
      <w:sz w:val="22"/>
      <w:szCs w:val="20"/>
    </w:rPr>
  </w:style>
  <w:style w:type="paragraph" w:styleId="BodyText">
    <w:name w:val="Body Text"/>
    <w:basedOn w:val="Normal"/>
    <w:link w:val="BodyTextChar"/>
    <w:qFormat/>
    <w:rsid w:val="005F1ECD"/>
    <w:pPr>
      <w:spacing w:after="284" w:line="280" w:lineRule="atLeast"/>
    </w:pPr>
    <w:rPr>
      <w:rFonts w:ascii="Garamond" w:eastAsia="Times New Roman" w:hAnsi="Garamond" w:cs="Arial"/>
      <w:sz w:val="22"/>
      <w:szCs w:val="20"/>
      <w:lang w:val="en-GB"/>
    </w:rPr>
  </w:style>
  <w:style w:type="character" w:customStyle="1" w:styleId="BodyTextChar">
    <w:name w:val="Body Text Char"/>
    <w:basedOn w:val="DefaultParagraphFont"/>
    <w:link w:val="BodyText"/>
    <w:rsid w:val="005F1ECD"/>
    <w:rPr>
      <w:rFonts w:ascii="Garamond" w:hAnsi="Garamond" w:cs="Arial"/>
      <w:sz w:val="22"/>
      <w:lang w:val="en-GB"/>
    </w:rPr>
  </w:style>
  <w:style w:type="table" w:customStyle="1" w:styleId="GTITableStyle3">
    <w:name w:val="GTI Table Style 3"/>
    <w:basedOn w:val="TableNormal"/>
    <w:uiPriority w:val="99"/>
    <w:rsid w:val="005F1ECD"/>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customStyle="1" w:styleId="GridTable5DarkAccent1">
    <w:name w:val="Grid Table 5 Dark Accent 1"/>
    <w:basedOn w:val="TableNormal"/>
    <w:uiPriority w:val="50"/>
    <w:rsid w:val="005A55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PlainTable2">
    <w:name w:val="Plain Table 2"/>
    <w:basedOn w:val="TableNormal"/>
    <w:uiPriority w:val="42"/>
    <w:rsid w:val="005A55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55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7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2015-08-25T04:00:00+00:00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0C0-034A-4CB5-99F1-29A03F783A4B}"/>
</file>

<file path=customXml/itemProps2.xml><?xml version="1.0" encoding="utf-8"?>
<ds:datastoreItem xmlns:ds="http://schemas.openxmlformats.org/officeDocument/2006/customXml" ds:itemID="{FB2FFE4A-A91D-47DD-82C5-6B2F7A36A7FA}"/>
</file>

<file path=customXml/itemProps3.xml><?xml version="1.0" encoding="utf-8"?>
<ds:datastoreItem xmlns:ds="http://schemas.openxmlformats.org/officeDocument/2006/customXml" ds:itemID="{95B7DDC0-BE18-4CD3-B2E8-A5E9E4EE9A53}"/>
</file>

<file path=docProps/app.xml><?xml version="1.0" encoding="utf-8"?>
<Properties xmlns="http://schemas.openxmlformats.org/officeDocument/2006/extended-properties" xmlns:vt="http://schemas.openxmlformats.org/officeDocument/2006/docPropsVTypes">
  <Template>Normal.dotm</Template>
  <TotalTime>1</TotalTime>
  <Pages>4</Pages>
  <Words>1552</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Tina (Denq)</dc:creator>
  <cp:lastModifiedBy>Michael Curtis</cp:lastModifiedBy>
  <cp:revision>2</cp:revision>
  <cp:lastPrinted>2014-12-19T14:57:00Z</cp:lastPrinted>
  <dcterms:created xsi:type="dcterms:W3CDTF">2015-03-26T18:21:00Z</dcterms:created>
  <dcterms:modified xsi:type="dcterms:W3CDTF">2015-03-26T18:21:00Z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